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2019年佛山市决策咨询研究重点课题</w:t>
      </w:r>
    </w:p>
    <w:p>
      <w:pPr>
        <w:widowControl w:val="0"/>
        <w:spacing w:line="560" w:lineRule="exact"/>
        <w:ind w:right="651" w:rightChars="217" w:firstLine="0" w:firstLineChars="0"/>
        <w:jc w:val="center"/>
        <w:rPr>
          <w:rFonts w:ascii="仿宋_GB2312"/>
          <w:sz w:val="32"/>
          <w:szCs w:val="32"/>
        </w:rPr>
      </w:pPr>
      <w:r>
        <w:rPr>
          <w:rFonts w:hint="eastAsia" w:ascii="仿宋_GB2312"/>
          <w:sz w:val="32"/>
          <w:szCs w:val="32"/>
        </w:rPr>
        <w:t>201</w:t>
      </w:r>
      <w:r>
        <w:rPr>
          <w:rFonts w:hint="eastAsia" w:ascii="仿宋_GB2312"/>
          <w:sz w:val="32"/>
          <w:szCs w:val="32"/>
          <w:lang w:val="en-US" w:eastAsia="zh-CN"/>
        </w:rPr>
        <w:t>9</w:t>
      </w:r>
      <w:r>
        <w:rPr>
          <w:rFonts w:hint="eastAsia" w:ascii="仿宋_GB2312"/>
          <w:sz w:val="32"/>
          <w:szCs w:val="32"/>
        </w:rPr>
        <w:t>年</w:t>
      </w:r>
      <w:r>
        <w:rPr>
          <w:rFonts w:hint="eastAsia" w:ascii="仿宋_GB2312"/>
          <w:sz w:val="32"/>
          <w:szCs w:val="32"/>
          <w:lang w:val="en-US" w:eastAsia="zh-CN"/>
        </w:rPr>
        <w:t>3</w:t>
      </w:r>
      <w:r>
        <w:rPr>
          <w:rFonts w:hint="eastAsia" w:ascii="仿宋_GB2312"/>
          <w:sz w:val="32"/>
          <w:szCs w:val="32"/>
        </w:rPr>
        <w:t>月</w:t>
      </w:r>
      <w:r>
        <w:rPr>
          <w:rFonts w:hint="eastAsia" w:ascii="仿宋_GB2312"/>
          <w:sz w:val="32"/>
          <w:szCs w:val="32"/>
          <w:lang w:val="en-US" w:eastAsia="zh-CN"/>
        </w:rPr>
        <w:t>27</w:t>
      </w:r>
      <w:r>
        <w:rPr>
          <w:rFonts w:hint="eastAsia" w:ascii="仿宋_GB2312"/>
          <w:sz w:val="32"/>
          <w:szCs w:val="32"/>
        </w:rPr>
        <w:t>日</w:t>
      </w:r>
    </w:p>
    <w:p>
      <w:pPr>
        <w:snapToGrid w:val="0"/>
        <w:spacing w:line="560" w:lineRule="exact"/>
        <w:ind w:firstLine="643"/>
        <w:jc w:val="center"/>
        <w:rPr>
          <w:rFonts w:ascii="楷体_GB2312" w:hAnsi="仿宋_GB2312" w:eastAsia="楷体_GB2312" w:cs="仿宋_GB2312"/>
          <w:b/>
          <w:sz w:val="32"/>
          <w:szCs w:val="32"/>
        </w:rPr>
      </w:pPr>
    </w:p>
    <w:p>
      <w:pPr>
        <w:keepNext w:val="0"/>
        <w:keepLines w:val="0"/>
        <w:pageBreakBefore w:val="0"/>
        <w:kinsoku/>
        <w:wordWrap/>
        <w:overflowPunct/>
        <w:topLinePunct w:val="0"/>
        <w:autoSpaceDE/>
        <w:autoSpaceDN/>
        <w:bidi w:val="0"/>
        <w:spacing w:line="560" w:lineRule="exact"/>
        <w:ind w:left="0" w:leftChars="0" w:right="0" w:rightChars="0" w:firstLine="640"/>
        <w:textAlignment w:val="auto"/>
        <w:outlineLvl w:val="9"/>
        <w:rPr>
          <w:sz w:val="32"/>
          <w:szCs w:val="32"/>
        </w:rPr>
      </w:pPr>
      <w:r>
        <w:rPr>
          <w:rFonts w:hint="eastAsia"/>
          <w:sz w:val="32"/>
          <w:szCs w:val="32"/>
        </w:rPr>
        <w:t>为加强我市经济社会发展重大问题的研究，破解改革发展过程中遇到的困难和瓶颈，为市委、市政府中心工作决策提供参考，现我室提出今年研究的</w:t>
      </w:r>
      <w:r>
        <w:rPr>
          <w:rFonts w:hint="eastAsia"/>
          <w:sz w:val="32"/>
          <w:szCs w:val="32"/>
          <w:lang w:val="en-US" w:eastAsia="zh-CN"/>
        </w:rPr>
        <w:t>5</w:t>
      </w:r>
      <w:r>
        <w:rPr>
          <w:rFonts w:hint="eastAsia"/>
          <w:sz w:val="32"/>
          <w:szCs w:val="32"/>
        </w:rPr>
        <w:t>个课题。具体内容如下：</w:t>
      </w:r>
    </w:p>
    <w:p>
      <w:pPr>
        <w:keepNext w:val="0"/>
        <w:keepLines w:val="0"/>
        <w:pageBreakBefore w:val="0"/>
        <w:numPr>
          <w:ilvl w:val="0"/>
          <w:numId w:val="0"/>
        </w:numPr>
        <w:kinsoku/>
        <w:wordWrap/>
        <w:overflowPunct/>
        <w:topLinePunct w:val="0"/>
        <w:autoSpaceDE/>
        <w:autoSpaceDN/>
        <w:bidi w:val="0"/>
        <w:snapToGrid w:val="0"/>
        <w:spacing w:line="560" w:lineRule="exact"/>
        <w:ind w:leftChars="200" w:right="0" w:right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佛山市</w:t>
      </w:r>
      <w:r>
        <w:rPr>
          <w:rFonts w:hint="eastAsia" w:ascii="黑体" w:hAnsi="黑体" w:eastAsia="黑体" w:cs="黑体"/>
          <w:sz w:val="32"/>
          <w:szCs w:val="32"/>
          <w:lang w:eastAsia="zh-CN"/>
        </w:rPr>
        <w:t>支撑经济高质量发展的支柱产业专题研究</w:t>
      </w:r>
    </w:p>
    <w:p>
      <w:pPr>
        <w:pStyle w:val="11"/>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研究背景</w:t>
      </w:r>
      <w:r>
        <w:rPr>
          <w:rFonts w:hint="eastAsia" w:ascii="楷体_GB2312" w:hAnsi="楷体_GB2312" w:eastAsia="楷体_GB2312" w:cs="楷体_GB2312"/>
          <w:b/>
          <w:bCs/>
          <w:sz w:val="32"/>
          <w:szCs w:val="32"/>
          <w:lang w:eastAsia="zh-CN"/>
        </w:rPr>
        <w:t>：</w:t>
      </w:r>
      <w:bookmarkStart w:id="0" w:name="_GoBack"/>
      <w:bookmarkEnd w:id="0"/>
    </w:p>
    <w:p>
      <w:pPr>
        <w:pStyle w:val="12"/>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当前，</w:t>
      </w:r>
      <w:r>
        <w:rPr>
          <w:rFonts w:hint="eastAsia" w:ascii="仿宋_GB2312" w:hAnsi="仿宋_GB2312" w:eastAsia="仿宋_GB2312"/>
          <w:sz w:val="32"/>
          <w:lang w:eastAsia="zh-CN"/>
        </w:rPr>
        <w:t>我</w:t>
      </w:r>
      <w:r>
        <w:rPr>
          <w:rFonts w:hint="eastAsia" w:ascii="仿宋_GB2312" w:hAnsi="仿宋_GB2312" w:eastAsia="仿宋_GB2312"/>
          <w:sz w:val="32"/>
        </w:rPr>
        <w:t>国经济已由高速增长阶段转向高质量发展阶段，正处在转变发展方式、优化经济结构、转换增长动力的跨越关口。</w:t>
      </w:r>
      <w:r>
        <w:rPr>
          <w:rFonts w:hint="eastAsia" w:ascii="仿宋_GB2312" w:hAnsi="仿宋_GB2312" w:eastAsia="仿宋_GB2312"/>
          <w:sz w:val="32"/>
          <w:lang w:eastAsia="zh-CN"/>
        </w:rPr>
        <w:t>佛山因制造而强，因制造而兴，是全国著名的制造业重镇。但近年来，佛山传统制造业发展趋于平缓，战略性新兴产业规模效应不强，推动经济高质量发展的产业动能仍显不足。为积极抢抓国家建设制造强国的重大机遇，进一步提升支撑佛山经济高质量发展的支柱产业竞争新优势，特提出该研究课题。</w:t>
      </w:r>
    </w:p>
    <w:p>
      <w:pPr>
        <w:pStyle w:val="11"/>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研究内容</w:t>
      </w:r>
      <w:r>
        <w:rPr>
          <w:rFonts w:hint="eastAsia" w:ascii="楷体_GB2312" w:hAnsi="楷体_GB2312" w:eastAsia="楷体_GB2312" w:cs="楷体_GB2312"/>
          <w:b/>
          <w:bCs/>
          <w:sz w:val="32"/>
          <w:szCs w:val="32"/>
          <w:lang w:eastAsia="zh-CN"/>
        </w:rPr>
        <w:t>：</w:t>
      </w:r>
    </w:p>
    <w:p>
      <w:pPr>
        <w:pStyle w:val="13"/>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（一）总结梳理佛山市传统支柱产业和战略性新兴产业发展现状；</w:t>
      </w:r>
    </w:p>
    <w:p>
      <w:pPr>
        <w:pStyle w:val="13"/>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（二）深入总结分析佛山传统支柱产业和战略性新兴产业发展面临的瓶颈制约等问题，以及制约佛山经济高质量发展存在的体制机制等深层次问题及原因。</w:t>
      </w:r>
    </w:p>
    <w:p>
      <w:pPr>
        <w:pStyle w:val="13"/>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我市进一步集中优势资源和力量，加快推动经济高质量发展，如传统产业转型发展、战略性新兴产业培育、构建现代化产业体系，以及体制机制改革、政策配套和保障措施等方面提出决策参考和意见建议。</w:t>
      </w:r>
    </w:p>
    <w:p>
      <w:pPr>
        <w:pStyle w:val="14"/>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仿宋_GB2312"/>
          <w:sz w:val="32"/>
          <w:szCs w:val="32"/>
          <w:lang w:val="en" w:eastAsia="zh-CN"/>
        </w:rPr>
      </w:pPr>
      <w:r>
        <w:rPr>
          <w:rFonts w:hint="eastAsia" w:ascii="黑体" w:hAnsi="黑体" w:eastAsia="黑体"/>
          <w:sz w:val="32"/>
          <w:szCs w:val="32"/>
          <w:lang w:eastAsia="zh-CN"/>
        </w:rPr>
        <w:t>二、</w:t>
      </w:r>
      <w:r>
        <w:rPr>
          <w:rFonts w:hint="eastAsia" w:ascii="黑体" w:hAnsi="黑体" w:eastAsia="黑体" w:cs="方正小标宋简体"/>
          <w:bCs/>
          <w:sz w:val="32"/>
          <w:szCs w:val="44"/>
          <w:lang w:eastAsia="zh-CN"/>
        </w:rPr>
        <w:t>佛山市打造高品质现代化文化集聚区研究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eastAsia" w:ascii="楷体" w:hAnsi="楷体" w:eastAsia="楷体" w:cs="方正小标宋简体"/>
          <w:b/>
          <w:bCs w:val="0"/>
          <w:sz w:val="32"/>
          <w:szCs w:val="44"/>
          <w:lang w:eastAsia="zh-CN"/>
        </w:rPr>
      </w:pPr>
      <w:r>
        <w:rPr>
          <w:rFonts w:hint="eastAsia" w:ascii="楷体" w:hAnsi="楷体" w:eastAsia="楷体" w:cs="方正小标宋简体"/>
          <w:b/>
          <w:bCs w:val="0"/>
          <w:sz w:val="32"/>
          <w:szCs w:val="44"/>
          <w:lang w:eastAsia="zh-CN"/>
        </w:rPr>
        <w:t>研究背景：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习近平总书记在全国宣传思想工作会议上强调指出，文化是一个国家、一个民族的灵魂。一个大国发展兴盛，必然要求文化影响力大幅提升，实现软实力和硬实力相得益彰。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佛山是岭南文化重要发祥地，历史文化底蕴深厚，正在建设具有广泛影响力的高品质文化导向型城市，虽然创建国家公共文化服务体系示范区成功通过国检，但佛山文化影响力与经济实力仍然不相匹配，尤其缺乏体现佛山特色、蕴含城市精神的高品质现代化文化集聚区。当前，文化</w:t>
      </w:r>
      <w:r>
        <w:rPr>
          <w:rFonts w:hint="eastAsia" w:ascii="仿宋_GB2312" w:hAnsi="仿宋_GB2312" w:eastAsia="仿宋_GB2312" w:cs="仿宋_GB2312"/>
          <w:sz w:val="32"/>
          <w:szCs w:val="32"/>
          <w:lang w:val="en"/>
        </w:rPr>
        <w:t>对城市经济发展、形象塑造、凝聚力</w:t>
      </w:r>
      <w:r>
        <w:rPr>
          <w:rFonts w:hint="eastAsia" w:ascii="仿宋_GB2312" w:hAnsi="仿宋_GB2312" w:eastAsia="仿宋_GB2312" w:cs="仿宋_GB2312"/>
          <w:sz w:val="32"/>
          <w:szCs w:val="32"/>
          <w:lang w:val="en" w:eastAsia="zh-CN"/>
        </w:rPr>
        <w:t>生成</w:t>
      </w:r>
      <w:r>
        <w:rPr>
          <w:rFonts w:hint="eastAsia" w:ascii="仿宋_GB2312" w:hAnsi="仿宋_GB2312" w:eastAsia="仿宋_GB2312" w:cs="仿宋_GB2312"/>
          <w:sz w:val="32"/>
          <w:szCs w:val="32"/>
          <w:lang w:val="en"/>
        </w:rPr>
        <w:t>起着不可替代的作用，</w:t>
      </w:r>
      <w:r>
        <w:rPr>
          <w:rFonts w:hint="eastAsia" w:ascii="仿宋_GB2312" w:hAnsi="仿宋_GB2312" w:eastAsia="仿宋_GB2312" w:cs="仿宋_GB2312"/>
          <w:sz w:val="32"/>
          <w:szCs w:val="32"/>
          <w:lang w:val="en" w:eastAsia="zh-CN"/>
        </w:rPr>
        <w:t>已经成为</w:t>
      </w:r>
      <w:r>
        <w:rPr>
          <w:rFonts w:hint="eastAsia" w:ascii="仿宋_GB2312" w:hAnsi="仿宋_GB2312" w:eastAsia="仿宋_GB2312" w:cs="仿宋_GB2312"/>
          <w:sz w:val="32"/>
          <w:szCs w:val="32"/>
          <w:lang w:val="en"/>
        </w:rPr>
        <w:t>城市核心</w:t>
      </w:r>
      <w:r>
        <w:rPr>
          <w:rFonts w:hint="eastAsia" w:ascii="仿宋_GB2312" w:hAnsi="仿宋_GB2312" w:eastAsia="仿宋_GB2312" w:cs="仿宋_GB2312"/>
          <w:sz w:val="32"/>
          <w:szCs w:val="32"/>
          <w:lang w:val="en" w:eastAsia="zh-CN"/>
        </w:rPr>
        <w:t>竞</w:t>
      </w:r>
      <w:r>
        <w:rPr>
          <w:rFonts w:hint="eastAsia" w:ascii="仿宋_GB2312" w:hAnsi="仿宋_GB2312" w:eastAsia="仿宋_GB2312" w:cs="仿宋_GB2312"/>
          <w:sz w:val="32"/>
          <w:szCs w:val="32"/>
          <w:lang w:val="en"/>
        </w:rPr>
        <w:t>争力的重要内容。</w:t>
      </w:r>
      <w:r>
        <w:rPr>
          <w:rFonts w:hint="eastAsia" w:ascii="仿宋_GB2312" w:hAnsi="仿宋_GB2312" w:eastAsia="仿宋_GB2312" w:cs="仿宋_GB2312"/>
          <w:sz w:val="32"/>
          <w:szCs w:val="32"/>
          <w:lang w:val="en" w:eastAsia="zh-CN"/>
        </w:rPr>
        <w:t>为满足佛山城市未来发展和人民对美好生活向往的需要，以文化展形象、聚民心、揽人才，迫切需要打造若干体现佛山特色、蕴含城市精神的高品质现代化文化集聚区，将城市文化特质和资源要素</w:t>
      </w:r>
      <w:r>
        <w:rPr>
          <w:rFonts w:hint="eastAsia" w:ascii="仿宋_GB2312" w:hAnsi="仿宋_GB2312" w:eastAsia="仿宋_GB2312" w:cs="仿宋_GB2312"/>
          <w:sz w:val="32"/>
          <w:szCs w:val="32"/>
          <w:lang w:val="en"/>
        </w:rPr>
        <w:t>进行有机整合，</w:t>
      </w:r>
      <w:r>
        <w:rPr>
          <w:rFonts w:hint="eastAsia" w:ascii="仿宋_GB2312" w:hAnsi="仿宋_GB2312" w:eastAsia="仿宋_GB2312" w:cs="仿宋_GB2312"/>
          <w:sz w:val="32"/>
          <w:szCs w:val="32"/>
          <w:lang w:val="en" w:eastAsia="zh-CN"/>
        </w:rPr>
        <w:t>推进一批体现佛山特色、蕴含城市精神、具有国际先进水平的重大文体设施建设</w:t>
      </w:r>
      <w:r>
        <w:rPr>
          <w:rFonts w:hint="eastAsia" w:ascii="仿宋_GB2312" w:hAnsi="仿宋_GB2312" w:eastAsia="仿宋_GB2312" w:cs="仿宋_GB2312"/>
          <w:sz w:val="32"/>
          <w:szCs w:val="32"/>
          <w:lang w:val="en"/>
        </w:rPr>
        <w:t>，形成其他城市不可比拟的</w:t>
      </w:r>
      <w:r>
        <w:rPr>
          <w:rFonts w:hint="eastAsia" w:ascii="仿宋_GB2312" w:hAnsi="仿宋_GB2312" w:eastAsia="仿宋_GB2312" w:cs="仿宋_GB2312"/>
          <w:sz w:val="32"/>
          <w:szCs w:val="32"/>
          <w:lang w:val="en" w:eastAsia="zh-CN"/>
        </w:rPr>
        <w:t>竞</w:t>
      </w:r>
      <w:r>
        <w:rPr>
          <w:rFonts w:hint="eastAsia" w:ascii="仿宋_GB2312" w:hAnsi="仿宋_GB2312" w:eastAsia="仿宋_GB2312" w:cs="仿宋_GB2312"/>
          <w:sz w:val="32"/>
          <w:szCs w:val="32"/>
          <w:lang w:val="en"/>
        </w:rPr>
        <w:t>争优势</w:t>
      </w:r>
      <w:r>
        <w:rPr>
          <w:rFonts w:hint="eastAsia" w:ascii="仿宋_GB2312" w:hAnsi="仿宋_GB2312" w:eastAsia="仿宋_GB2312" w:cs="仿宋_GB2312"/>
          <w:sz w:val="32"/>
          <w:szCs w:val="32"/>
          <w:lang w:val="en" w:eastAsia="zh-CN"/>
        </w:rPr>
        <w:t>，打造粤港澳大湾区文化发展高地。</w:t>
      </w:r>
    </w:p>
    <w:p>
      <w:pPr>
        <w:pStyle w:val="15"/>
        <w:adjustRightInd w:val="0"/>
        <w:snapToGrid w:val="0"/>
        <w:spacing w:line="600" w:lineRule="exact"/>
        <w:ind w:firstLine="643" w:firstLineChars="200"/>
        <w:rPr>
          <w:rFonts w:hint="eastAsia" w:ascii="楷体" w:hAnsi="楷体" w:eastAsia="楷体" w:cs="仿宋_GB2312"/>
          <w:b/>
          <w:bCs/>
          <w:sz w:val="32"/>
          <w:szCs w:val="32"/>
          <w:lang w:val="en" w:eastAsia="zh-CN"/>
        </w:rPr>
      </w:pPr>
      <w:r>
        <w:rPr>
          <w:rFonts w:hint="eastAsia" w:ascii="楷体" w:hAnsi="楷体" w:eastAsia="楷体" w:cs="仿宋_GB2312"/>
          <w:b/>
          <w:bCs/>
          <w:sz w:val="32"/>
          <w:szCs w:val="32"/>
          <w:lang w:val="en" w:eastAsia="zh-CN"/>
        </w:rPr>
        <w:t>研究内容：</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（一）国内先进城市打造高品质现代化文化集聚区的主要经验做法和经营管理模式。</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（二）佛山市文化基础设施建设现状及分布情况。</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（三）佛山市打造若干高品质现代化文化集聚区的基础条件，以及需要补齐的短板弱项。</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（四）佛山打造高端文化集聚区的规划布局和建设举措。对全市高品质现代化文化集聚区的总体规划、合理布局、建设模式作出思考，对需要谋划推进的重大文体设施建设项目提出建议。</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三龙湾高端创新集聚区嵌入佛山文化、体现城市精神的具体举措。对三龙湾高端创新集聚区如何以文化为魂打造高端文化平台载体、实现“山、水、林、田、湖、文”高度融合提出具体建议，营造吸引高层次人才生活和工作的最有品位、最高品质的创新创智创富园。</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（六）佛山如何抢抓粤港澳大湾区文化发展机遇，发挥自身文化优势，以高品质现代化文化集聚区为载体支撑，共建人文湾区，提升佛山的文化软实力和城市影响力。</w:t>
      </w:r>
    </w:p>
    <w:p>
      <w:pPr>
        <w:pStyle w:val="17"/>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方正小标宋简体"/>
          <w:sz w:val="32"/>
          <w:szCs w:val="44"/>
        </w:rPr>
      </w:pPr>
      <w:r>
        <w:rPr>
          <w:rFonts w:hint="eastAsia" w:ascii="黑体" w:hAnsi="黑体" w:eastAsia="黑体" w:cs="方正小标宋简体"/>
          <w:sz w:val="32"/>
          <w:szCs w:val="44"/>
          <w:lang w:eastAsia="zh-CN"/>
        </w:rPr>
        <w:t>三、</w:t>
      </w:r>
      <w:r>
        <w:rPr>
          <w:rFonts w:hint="eastAsia" w:ascii="黑体" w:hAnsi="黑体" w:eastAsia="黑体" w:cs="方正小标宋简体"/>
          <w:sz w:val="32"/>
          <w:szCs w:val="44"/>
        </w:rPr>
        <w:t>佛山市</w:t>
      </w:r>
      <w:r>
        <w:rPr>
          <w:rFonts w:hint="eastAsia" w:ascii="黑体" w:hAnsi="黑体" w:eastAsia="黑体" w:cs="方正小标宋简体"/>
          <w:sz w:val="32"/>
          <w:szCs w:val="44"/>
          <w:lang w:eastAsia="zh-CN"/>
        </w:rPr>
        <w:t>关于</w:t>
      </w:r>
      <w:r>
        <w:rPr>
          <w:rFonts w:hint="eastAsia" w:ascii="黑体" w:hAnsi="黑体" w:eastAsia="黑体" w:cs="方正小标宋简体"/>
          <w:sz w:val="32"/>
          <w:szCs w:val="44"/>
        </w:rPr>
        <w:t>城市水安全</w:t>
      </w:r>
      <w:r>
        <w:rPr>
          <w:rFonts w:hint="eastAsia" w:ascii="黑体" w:hAnsi="黑体" w:eastAsia="黑体" w:cs="方正小标宋简体"/>
          <w:sz w:val="32"/>
          <w:szCs w:val="44"/>
          <w:lang w:eastAsia="zh-CN"/>
        </w:rPr>
        <w:t>问题</w:t>
      </w:r>
      <w:r>
        <w:rPr>
          <w:rFonts w:hint="eastAsia" w:ascii="黑体" w:hAnsi="黑体" w:eastAsia="黑体" w:cs="方正小标宋简体"/>
          <w:sz w:val="32"/>
          <w:szCs w:val="44"/>
        </w:rPr>
        <w:t>研究</w:t>
      </w:r>
    </w:p>
    <w:p>
      <w:pPr>
        <w:pStyle w:val="18"/>
        <w:adjustRightInd w:val="0"/>
        <w:snapToGrid w:val="0"/>
        <w:spacing w:line="600" w:lineRule="exact"/>
        <w:ind w:firstLine="643" w:firstLineChars="200"/>
        <w:rPr>
          <w:rFonts w:hint="eastAsia" w:ascii="楷体_GB2312" w:hAnsi="楷体_GB2312" w:eastAsia="楷体_GB2312" w:cs="仿宋_GB2312"/>
          <w:b/>
          <w:bCs/>
          <w:sz w:val="32"/>
          <w:szCs w:val="32"/>
          <w:lang w:eastAsia="zh-CN"/>
        </w:rPr>
      </w:pPr>
      <w:r>
        <w:rPr>
          <w:rFonts w:hint="eastAsia" w:ascii="楷体_GB2312" w:hAnsi="楷体_GB2312" w:eastAsia="楷体_GB2312" w:cs="仿宋_GB2312"/>
          <w:b/>
          <w:bCs/>
          <w:sz w:val="32"/>
          <w:szCs w:val="32"/>
          <w:lang w:eastAsia="zh-CN"/>
        </w:rPr>
        <w:t>研究背景：</w:t>
      </w:r>
    </w:p>
    <w:p>
      <w:pPr>
        <w:pStyle w:val="1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水是城市经济社会可持续发展的战略性基础资源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是维系城市生态系统健康稳定的重要保证。随着城市化进程的快速推进，佛山的人口和产业密度激增，人类活动对水资源和生态环境的影响日益加快：一是城市对水资源需求持续增加，主要表现在工业用水、生活用水需求与日俱增。二是城市河涌污染日趋严重，进而威胁城市居民饮水安全，这主要表现在工业污水、生活污水等常规性污染，也表现为其他恶性污染事故，造成严重影响；三是城市内涝，高密度的人类活动使得城市水安全不确定因素增多，“小雨成河、大雨成灾”突发事件频发，特别是</w:t>
      </w:r>
      <w:r>
        <w:rPr>
          <w:rFonts w:hint="eastAsia" w:ascii="仿宋_GB2312" w:hAnsi="仿宋_GB2312" w:eastAsia="仿宋_GB2312" w:cs="仿宋_GB2312"/>
          <w:sz w:val="32"/>
          <w:szCs w:val="32"/>
          <w:lang w:eastAsia="zh-CN"/>
        </w:rPr>
        <w:t>去年</w:t>
      </w:r>
      <w:r>
        <w:rPr>
          <w:rFonts w:hint="eastAsia" w:ascii="仿宋_GB2312" w:hAnsi="仿宋_GB2312" w:eastAsia="仿宋_GB2312" w:cs="仿宋_GB2312"/>
          <w:sz w:val="32"/>
          <w:szCs w:val="32"/>
        </w:rPr>
        <w:t>6月8日全城水浸事件沥沥在目。这表明，如何实现城市水资源的可持续利用、保障城市水安全，已成为当前我市一项迫切而又重大的现实课题。</w:t>
      </w:r>
    </w:p>
    <w:p>
      <w:pPr>
        <w:pStyle w:val="19"/>
        <w:adjustRightInd w:val="0"/>
        <w:snapToGrid w:val="0"/>
        <w:spacing w:line="600" w:lineRule="exact"/>
        <w:ind w:firstLine="643" w:firstLineChars="200"/>
        <w:rPr>
          <w:rFonts w:hint="eastAsia" w:ascii="楷体_GB2312" w:hAnsi="楷体_GB2312" w:eastAsia="楷体_GB2312" w:cs="仿宋_GB2312"/>
          <w:b/>
          <w:bCs/>
          <w:sz w:val="32"/>
          <w:szCs w:val="32"/>
          <w:lang w:eastAsia="zh-CN"/>
        </w:rPr>
      </w:pPr>
      <w:r>
        <w:rPr>
          <w:rFonts w:hint="eastAsia" w:ascii="楷体_GB2312" w:hAnsi="楷体_GB2312" w:eastAsia="楷体_GB2312" w:cs="仿宋_GB2312"/>
          <w:b/>
          <w:bCs/>
          <w:sz w:val="32"/>
          <w:szCs w:val="32"/>
          <w:lang w:eastAsia="zh-CN"/>
        </w:rPr>
        <w:t>研究内容：</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（一）全面系统摸清当前佛山城市水资源特性、水环境（水量、水质、水设施）现状以及存在问题。</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（二）分析评估佛山城市水安全保障的制约因素。</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（三）梳理国内外先进地区推进城市水安全的先进经验和做法。</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（四）研究提出未来佛山城市水安全的战略规划、工程设计、水设施建设运营和水务监管，推动城市水安全治理现代化的对策建议。</w:t>
      </w:r>
    </w:p>
    <w:p>
      <w:pPr>
        <w:rPr>
          <w:rFonts w:hint="eastAsia" w:ascii="黑体" w:hAnsi="黑体" w:eastAsia="黑体" w:cs="方正小标宋简体"/>
          <w:kern w:val="2"/>
          <w:sz w:val="32"/>
          <w:szCs w:val="44"/>
          <w:lang w:val="en-US" w:eastAsia="zh-CN" w:bidi="ar-SA"/>
        </w:rPr>
      </w:pPr>
      <w:r>
        <w:rPr>
          <w:rFonts w:hint="eastAsia" w:ascii="黑体" w:hAnsi="黑体" w:eastAsia="黑体" w:cs="方正小标宋简体"/>
          <w:kern w:val="2"/>
          <w:sz w:val="32"/>
          <w:szCs w:val="44"/>
          <w:lang w:val="en-US" w:eastAsia="zh-CN" w:bidi="ar-SA"/>
        </w:rPr>
        <w:t>四、佛山市“两新”组织党建工作现状及对策研究</w:t>
      </w:r>
    </w:p>
    <w:p>
      <w:pPr>
        <w:ind w:firstLine="643" w:firstLineChars="200"/>
        <w:rPr>
          <w:rFonts w:hint="eastAsia" w:ascii="楷体" w:hAnsi="楷体" w:eastAsia="楷体" w:cs="楷体"/>
          <w:b/>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color="auto" w:fill="FFFFFF"/>
          <w:lang w:val="en-US" w:eastAsia="zh-CN"/>
          <w14:textFill>
            <w14:solidFill>
              <w14:schemeClr w14:val="tx1"/>
            </w14:solidFill>
          </w14:textFill>
        </w:rPr>
        <w:t>研究背景：</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公有制经济组织和新社会组织（简称“两新”组织）是国民经济中最具活力的新生力量，是年轻人就业的主要阵地，“两新”组织党建工作已成为当前基层党建工作的热点和难点。加强和改进党对“两新”组织的领导，牢牢掌握党的这一重要舆论阵地和工作阵地，实现党的组织和工作全覆盖，是推进全面从严治党，不断提高党的执政能力和领导水平的重大课题和时代命题。佛山作为一个传统制造业大市，也是民营经济大市，非公有制经济组织和新社会组织众多，民营经济在佛山经济格局起着支柱地位，据统计民营经济占全市GDP的比重超过六成。尤其是新一代的年轻党员干部学历较高、思想多元、富有个性，给“两新”组织党建工作提出了新的挑战。虽然，近年来随着全面从严治党不断深入，佛山基层党组织建设不断加强，但“两新”组织党建工作仍存在队伍建设滞后、组织覆盖不全、信息支撑较弱、新党员的发展受到较大限制、党员规范化管理难度较大等突出问题，需要我们进一步加强研究，为市委决策提出对策建议。</w:t>
      </w:r>
    </w:p>
    <w:p>
      <w:pPr>
        <w:ind w:firstLine="643" w:firstLineChars="200"/>
        <w:rPr>
          <w:rFonts w:hint="eastAsia" w:ascii="楷体" w:hAnsi="楷体" w:eastAsia="楷体" w:cs="楷体"/>
          <w:b/>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color="auto" w:fill="FFFFFF"/>
          <w:lang w:val="en-US" w:eastAsia="zh-CN"/>
          <w14:textFill>
            <w14:solidFill>
              <w14:schemeClr w14:val="tx1"/>
            </w14:solidFill>
          </w14:textFill>
        </w:rPr>
        <w:t>研究内容：</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形成研究报告1份，并通过专家评估。该课题研究成果将为加强“两新”组织党建工作提供支撑。</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（一）研究佛山“两新”组织党建工作的现状和存在问题以及经验做法，并深入分析问题的根源，提出针对性、可操作性的对策建议。</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（二）对比先进地区，佛山“两新”组织党建工作存在的主要差距，以及梳理先进地区值得学习的经验和做法。 </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（三）为扩大“两新”组织覆盖面、教育培训管理党员干部、更好发挥党组织在“两新”组织中的作用、教育引导年轻人自觉认同党的路线方针政策等方面提供意见建议。</w:t>
      </w:r>
    </w:p>
    <w:p>
      <w:pPr>
        <w:pStyle w:val="11"/>
        <w:numPr>
          <w:ilvl w:val="0"/>
          <w:numId w:val="0"/>
        </w:numPr>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佛山市“一门式一网式”政府服务模式改革第三方评估</w:t>
      </w:r>
    </w:p>
    <w:p>
      <w:pPr>
        <w:pStyle w:val="14"/>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评估背景：</w:t>
      </w:r>
    </w:p>
    <w:p>
      <w:pPr>
        <w:pStyle w:val="20"/>
        <w:spacing w:line="600" w:lineRule="exact"/>
        <w:ind w:firstLine="640" w:firstLineChars="200"/>
        <w:rPr>
          <w:rFonts w:ascii="仿宋_GB2312" w:eastAsia="仿宋_GB2312"/>
          <w:sz w:val="32"/>
          <w:szCs w:val="32"/>
        </w:rPr>
      </w:pPr>
      <w:r>
        <w:rPr>
          <w:rFonts w:hint="eastAsia" w:ascii="仿宋_GB2312" w:eastAsia="仿宋_GB2312"/>
          <w:sz w:val="32"/>
          <w:szCs w:val="32"/>
        </w:rPr>
        <w:t>改革开放以来，佛山根据企业和群众需要，在政府服务改革方面主动探索、不断改革，使我市政府服务改革始终走在全国前列，特别是“一门式一网式”政府服务模式改革，得到了国务院的充分肯定和省的大力推广。随着经济社会发展形势的变化，我市政府服务改革在推进过程中也遇到了一些困难和问题。为全面摸清“一门式一网式”政务服务模式改革的现状，总结成功经验，查找存在的困难和问题，为下一步深化改革指明方向、画出路径、提出对策，进一步提升我市政府服务能力和水平，加快形成市场化、法治化、国际化营商环境，特提出该评估课题。</w:t>
      </w:r>
    </w:p>
    <w:p>
      <w:pPr>
        <w:pStyle w:val="14"/>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评估内容：</w:t>
      </w:r>
    </w:p>
    <w:p>
      <w:pPr>
        <w:pStyle w:val="14"/>
        <w:spacing w:line="560" w:lineRule="exact"/>
        <w:ind w:firstLine="640" w:firstLineChars="200"/>
        <w:rPr>
          <w:rFonts w:hint="eastAsia" w:ascii="Times New Roman" w:hAnsi="仿宋_GB2312"/>
          <w:sz w:val="32"/>
          <w:szCs w:val="32"/>
        </w:rPr>
      </w:pPr>
      <w:r>
        <w:rPr>
          <w:rFonts w:hint="eastAsia" w:ascii="Times New Roman" w:hAnsi="仿宋_GB2312"/>
          <w:sz w:val="32"/>
          <w:szCs w:val="32"/>
        </w:rPr>
        <w:t>（一）梳理总结“一门式一网式”政府服务模式改革的历史脉络、经验做法。</w:t>
      </w:r>
    </w:p>
    <w:p>
      <w:pPr>
        <w:pStyle w:val="14"/>
        <w:spacing w:line="560" w:lineRule="exact"/>
        <w:ind w:firstLine="640" w:firstLineChars="200"/>
        <w:rPr>
          <w:rFonts w:hint="eastAsia" w:ascii="Times New Roman" w:hAnsi="仿宋_GB2312"/>
          <w:sz w:val="32"/>
          <w:szCs w:val="32"/>
        </w:rPr>
      </w:pPr>
      <w:r>
        <w:rPr>
          <w:rFonts w:hint="eastAsia" w:ascii="Times New Roman" w:hAnsi="仿宋_GB2312"/>
          <w:sz w:val="32"/>
          <w:szCs w:val="32"/>
        </w:rPr>
        <w:t>（二）摸清“一门式一网式”政府服务模式改革的现状，群众、企业的体验评价，存在问题和困难。</w:t>
      </w:r>
    </w:p>
    <w:p>
      <w:pPr>
        <w:pStyle w:val="14"/>
        <w:spacing w:line="560" w:lineRule="exact"/>
        <w:ind w:firstLine="640" w:firstLineChars="200"/>
        <w:rPr>
          <w:rFonts w:ascii="Times New Roman" w:hAnsi="仿宋_GB2312"/>
          <w:sz w:val="32"/>
          <w:szCs w:val="32"/>
        </w:rPr>
      </w:pPr>
      <w:r>
        <w:rPr>
          <w:rFonts w:hint="eastAsia" w:ascii="Times New Roman" w:hAnsi="仿宋_GB2312"/>
          <w:sz w:val="32"/>
          <w:szCs w:val="32"/>
        </w:rPr>
        <w:t>（三）针对改革中存在的问题和困难，结合其他城市的先进经验做法，提出佛山深化“一门式一网式”政府服务模式改革的路径方向和具体对策。</w:t>
      </w:r>
    </w:p>
    <w:p>
      <w:pPr>
        <w:pStyle w:val="1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13"/>
        <w:numPr>
          <w:ilvl w:val="0"/>
          <w:numId w:val="0"/>
        </w:numPr>
        <w:ind w:firstLine="640" w:firstLineChars="200"/>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snapToGrid w:val="0"/>
        <w:spacing w:line="560" w:lineRule="exact"/>
        <w:ind w:left="0" w:leftChars="0" w:right="0" w:rightChars="0"/>
        <w:textAlignment w:val="auto"/>
        <w:outlineLvl w:val="9"/>
        <w:rPr>
          <w:rFonts w:hint="eastAsia" w:ascii="黑体" w:hAnsi="黑体" w:eastAsia="黑体" w:cs="黑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81648"/>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8D"/>
    <w:rsid w:val="0005788D"/>
    <w:rsid w:val="0010529C"/>
    <w:rsid w:val="00136376"/>
    <w:rsid w:val="00150A3C"/>
    <w:rsid w:val="00202AC8"/>
    <w:rsid w:val="002404EF"/>
    <w:rsid w:val="00270F09"/>
    <w:rsid w:val="002E3BC1"/>
    <w:rsid w:val="00337AFC"/>
    <w:rsid w:val="0034007C"/>
    <w:rsid w:val="00351784"/>
    <w:rsid w:val="00360AD3"/>
    <w:rsid w:val="0038658C"/>
    <w:rsid w:val="003C5456"/>
    <w:rsid w:val="004A6F93"/>
    <w:rsid w:val="00553F4F"/>
    <w:rsid w:val="005A5415"/>
    <w:rsid w:val="005C1D21"/>
    <w:rsid w:val="005D4F5B"/>
    <w:rsid w:val="00602D7D"/>
    <w:rsid w:val="0066497B"/>
    <w:rsid w:val="007105F8"/>
    <w:rsid w:val="00724F07"/>
    <w:rsid w:val="0075250E"/>
    <w:rsid w:val="00776F62"/>
    <w:rsid w:val="007B1A09"/>
    <w:rsid w:val="007D63D6"/>
    <w:rsid w:val="007F4141"/>
    <w:rsid w:val="0083015E"/>
    <w:rsid w:val="00846BD9"/>
    <w:rsid w:val="0088540E"/>
    <w:rsid w:val="008D11E5"/>
    <w:rsid w:val="00944CA0"/>
    <w:rsid w:val="009B17DC"/>
    <w:rsid w:val="009C57CC"/>
    <w:rsid w:val="009C7F72"/>
    <w:rsid w:val="00A05752"/>
    <w:rsid w:val="00A37259"/>
    <w:rsid w:val="00B558F0"/>
    <w:rsid w:val="00B6405D"/>
    <w:rsid w:val="00C453A7"/>
    <w:rsid w:val="00C66519"/>
    <w:rsid w:val="00CA3F4F"/>
    <w:rsid w:val="00D67C1C"/>
    <w:rsid w:val="00DE3F1B"/>
    <w:rsid w:val="00DF7CB9"/>
    <w:rsid w:val="00E708D4"/>
    <w:rsid w:val="00EA6FA9"/>
    <w:rsid w:val="00EA73E7"/>
    <w:rsid w:val="00ED05D6"/>
    <w:rsid w:val="00F97BE5"/>
    <w:rsid w:val="00FA23C9"/>
    <w:rsid w:val="00FF2156"/>
    <w:rsid w:val="00FF5CE1"/>
    <w:rsid w:val="045542DC"/>
    <w:rsid w:val="0B0353A8"/>
    <w:rsid w:val="196B4CFA"/>
    <w:rsid w:val="1B4B67F8"/>
    <w:rsid w:val="202030CC"/>
    <w:rsid w:val="35CC7D4A"/>
    <w:rsid w:val="37F2785D"/>
    <w:rsid w:val="3DCC2B43"/>
    <w:rsid w:val="4D2022D7"/>
    <w:rsid w:val="4D9E317E"/>
    <w:rsid w:val="51897E4A"/>
    <w:rsid w:val="548A7E9B"/>
    <w:rsid w:val="73787DDA"/>
    <w:rsid w:val="7835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exact"/>
      <w:ind w:firstLine="200" w:firstLineChars="200"/>
    </w:pPr>
    <w:rPr>
      <w:rFonts w:eastAsia="仿宋_GB2312" w:asciiTheme="minorHAnsi" w:hAnsiTheme="minorHAnsi" w:cstheme="minorBidi"/>
      <w:kern w:val="2"/>
      <w:sz w:val="30"/>
      <w:szCs w:val="30"/>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正文 New"/>
    <w:qFormat/>
    <w:uiPriority w:val="0"/>
    <w:pPr>
      <w:widowControl w:val="0"/>
      <w:jc w:val="both"/>
    </w:pPr>
    <w:rPr>
      <w:rFonts w:ascii="Calibri" w:hAnsi="Calibri" w:eastAsia="仿宋_GB2312" w:cstheme="minorBidi"/>
      <w:kern w:val="2"/>
      <w:sz w:val="21"/>
      <w:szCs w:val="24"/>
      <w:lang w:val="en-US" w:eastAsia="zh-CN" w:bidi="ar-SA"/>
    </w:rPr>
  </w:style>
  <w:style w:type="paragraph" w:customStyle="1" w:styleId="12">
    <w:name w:val="正文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正文 New New"/>
    <w:uiPriority w:val="0"/>
    <w:pPr>
      <w:spacing w:line="480" w:lineRule="exact"/>
      <w:ind w:firstLine="200" w:firstLineChars="200"/>
    </w:pPr>
    <w:rPr>
      <w:rFonts w:ascii="Calibri" w:hAnsi="Calibri" w:eastAsia="仿宋_GB2312" w:cs="黑体"/>
      <w:kern w:val="2"/>
      <w:sz w:val="30"/>
      <w:szCs w:val="30"/>
      <w:lang w:val="en-US" w:eastAsia="zh-CN"/>
    </w:rPr>
  </w:style>
  <w:style w:type="paragraph" w:customStyle="1" w:styleId="15">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686</Words>
  <Characters>3916</Characters>
  <Lines>32</Lines>
  <Paragraphs>9</Paragraphs>
  <TotalTime>1</TotalTime>
  <ScaleCrop>false</ScaleCrop>
  <LinksUpToDate>false</LinksUpToDate>
  <CharactersWithSpaces>4593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2017-02-06T07:35:00Z</dcterms:created>
  <dc:creator>邝永光</dc:creator>
  <cp:lastModifiedBy>李志宇</cp:lastModifiedBy>
  <cp:lastPrinted>2018-03-07T01:56:00Z</cp:lastPrinted>
  <dcterms:modified xsi:type="dcterms:W3CDTF">2019-03-27T06:56:01Z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