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eastAsia="仿宋_GB2312"/>
          <w:b/>
          <w:bCs/>
          <w:sz w:val="24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1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1"/>
          <w:lang w:val="en-US" w:eastAsia="zh-CN"/>
        </w:rPr>
        <w:t>3</w:t>
      </w:r>
    </w:p>
    <w:p>
      <w:pPr>
        <w:spacing w:line="240" w:lineRule="auto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b w:val="0"/>
          <w:bCs/>
          <w:color w:val="auto"/>
          <w:sz w:val="32"/>
        </w:rPr>
      </w:pPr>
      <w:r>
        <w:rPr>
          <w:rFonts w:hint="eastAsia" w:ascii="方正小标宋简体" w:hAnsi="宋体" w:eastAsia="方正小标宋简体"/>
          <w:b w:val="0"/>
          <w:bCs/>
          <w:color w:val="auto"/>
          <w:sz w:val="32"/>
          <w:szCs w:val="32"/>
          <w:lang w:eastAsia="zh-CN"/>
        </w:rPr>
        <w:t>白蚁防治企业诚信考评加分标准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50"/>
        <w:gridCol w:w="1050"/>
        <w:gridCol w:w="1425"/>
        <w:gridCol w:w="4560"/>
        <w:gridCol w:w="1624"/>
        <w:gridCol w:w="1425"/>
        <w:gridCol w:w="1200"/>
        <w:gridCol w:w="1562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  <w:t>子序号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  <w:t>项目</w:t>
            </w:r>
          </w:p>
        </w:tc>
        <w:tc>
          <w:tcPr>
            <w:tcW w:w="5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  <w:t>加分内容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  <w:t>加分值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  <w:lang w:val="en-US" w:eastAsia="zh-CN"/>
              </w:rPr>
              <w:t>有效期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  <w:t>依据说明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  <w:t>登记机构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1"/>
                <w:szCs w:val="18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18"/>
                <w:lang w:eastAsia="zh-CN"/>
              </w:rPr>
              <w:t>记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18"/>
                <w:lang w:eastAsia="zh-CN"/>
              </w:rPr>
              <w:t>录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18"/>
                <w:lang w:eastAsia="zh-CN"/>
              </w:rPr>
              <w:t>加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18"/>
                <w:lang w:eastAsia="zh-CN"/>
              </w:rPr>
              <w:t>分</w:t>
            </w:r>
          </w:p>
        </w:tc>
        <w:tc>
          <w:tcPr>
            <w:tcW w:w="5985" w:type="dxa"/>
            <w:gridSpan w:val="2"/>
            <w:noWrap w:val="0"/>
            <w:vAlign w:val="center"/>
          </w:tcPr>
          <w:p>
            <w:pPr>
              <w:ind w:right="-51" w:rightChars="-16"/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白蚁防治企业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将年度内</w:t>
            </w:r>
            <w:r>
              <w:rPr>
                <w:rFonts w:hint="eastAsia" w:ascii="仿宋_GB2312" w:eastAsia="仿宋_GB2312"/>
                <w:sz w:val="21"/>
                <w:szCs w:val="18"/>
              </w:rPr>
              <w:t>房屋白蚁防治服务协议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1"/>
                <w:szCs w:val="18"/>
              </w:rPr>
              <w:t>施工记录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等信息及时、全面</w:t>
            </w:r>
            <w:r>
              <w:rPr>
                <w:rFonts w:hint="eastAsia" w:ascii="仿宋_GB2312" w:eastAsia="仿宋_GB2312"/>
                <w:sz w:val="21"/>
                <w:szCs w:val="18"/>
              </w:rPr>
              <w:t>上传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至诚信管理平台</w:t>
            </w:r>
            <w:r>
              <w:rPr>
                <w:rFonts w:hint="eastAsia" w:ascii="仿宋_GB2312" w:eastAsia="仿宋_GB2312"/>
                <w:sz w:val="21"/>
                <w:szCs w:val="18"/>
              </w:rPr>
              <w:t>；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lang w:val="en-US" w:eastAsia="zh-CN"/>
              </w:rPr>
              <w:t>每个项目</w:t>
            </w:r>
          </w:p>
          <w:p>
            <w:pPr>
              <w:jc w:val="center"/>
              <w:rPr>
                <w:rFonts w:hint="default" w:ascii="仿宋_GB2312" w:eastAsia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lang w:val="en-US" w:eastAsia="zh-CN"/>
              </w:rPr>
              <w:t>加0.5分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lang w:val="en-US" w:eastAsia="zh-CN"/>
              </w:rPr>
              <w:t>1年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白蚁防治服务协议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1"/>
                <w:szCs w:val="18"/>
              </w:rPr>
              <w:t>施工记录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18"/>
              </w:rPr>
            </w:pPr>
            <w:r>
              <w:rPr>
                <w:rFonts w:hint="eastAsia" w:ascii="仿宋_GB2312" w:hAnsi="Times New Roman" w:eastAsia="仿宋_GB2312"/>
                <w:sz w:val="21"/>
                <w:szCs w:val="18"/>
              </w:rPr>
              <w:t>由各区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18"/>
                <w:lang w:eastAsia="zh-CN"/>
              </w:rPr>
              <w:t>白蚁防治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18"/>
              </w:rPr>
              <w:t>行政</w:t>
            </w:r>
            <w:r>
              <w:rPr>
                <w:rFonts w:hint="eastAsia" w:ascii="仿宋_GB2312" w:hAnsi="Times New Roman" w:eastAsia="仿宋_GB2312"/>
                <w:sz w:val="21"/>
                <w:szCs w:val="18"/>
              </w:rPr>
              <w:t>主管部门负责</w:t>
            </w:r>
            <w:r>
              <w:rPr>
                <w:rFonts w:hint="eastAsia" w:ascii="仿宋_GB2312" w:hAnsi="Times New Roman" w:eastAsia="仿宋_GB2312"/>
                <w:sz w:val="21"/>
                <w:szCs w:val="18"/>
                <w:lang w:eastAsia="zh-CN"/>
              </w:rPr>
              <w:t>审核</w:t>
            </w:r>
            <w:r>
              <w:rPr>
                <w:rFonts w:hint="eastAsia" w:ascii="仿宋_GB2312" w:hAnsi="Times New Roman" w:eastAsia="仿宋_GB2312"/>
                <w:sz w:val="21"/>
                <w:szCs w:val="18"/>
              </w:rPr>
              <w:t>登记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一年内累计加分上限不超过</w:t>
            </w:r>
            <w:r>
              <w:rPr>
                <w:rFonts w:hint="eastAsia" w:ascii="仿宋_GB2312" w:eastAsia="仿宋_GB2312"/>
                <w:sz w:val="21"/>
                <w:szCs w:val="1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sz w:val="21"/>
                <w:szCs w:val="18"/>
              </w:rPr>
              <w:t>-1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</w:rPr>
              <w:t>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</w:rPr>
              <w:t>报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</w:rPr>
              <w:t>扬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right="-51" w:rightChars="-16"/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国家级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住建部通报表扬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加15分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1年（从通报表扬文件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印发</w:t>
            </w:r>
            <w:r>
              <w:rPr>
                <w:rFonts w:hint="eastAsia" w:ascii="仿宋_GB2312" w:eastAsia="仿宋_GB2312"/>
                <w:sz w:val="21"/>
                <w:szCs w:val="18"/>
              </w:rPr>
              <w:t>之日起计算）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通报表扬文件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或荣誉证书</w:t>
            </w:r>
          </w:p>
        </w:tc>
        <w:tc>
          <w:tcPr>
            <w:tcW w:w="1562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hAnsi="宋体" w:eastAsia="仿宋_GB2312"/>
                <w:sz w:val="21"/>
                <w:szCs w:val="18"/>
              </w:rPr>
              <w:t>各区行政区域内企业（涵盖驻区市外企业）由各区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  <w:lang w:eastAsia="zh-CN"/>
              </w:rPr>
              <w:t>白蚁防治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</w:rPr>
              <w:t>行政</w:t>
            </w:r>
            <w:r>
              <w:rPr>
                <w:rFonts w:hint="eastAsia" w:ascii="仿宋_GB2312" w:hAnsi="宋体" w:eastAsia="仿宋_GB2312"/>
                <w:sz w:val="21"/>
                <w:szCs w:val="18"/>
              </w:rPr>
              <w:t>主管部门负责</w:t>
            </w:r>
            <w:r>
              <w:rPr>
                <w:rFonts w:hint="eastAsia" w:ascii="仿宋_GB2312" w:hAnsi="宋体" w:eastAsia="仿宋_GB2312"/>
                <w:sz w:val="21"/>
                <w:szCs w:val="18"/>
                <w:lang w:eastAsia="zh-CN"/>
              </w:rPr>
              <w:t>审核</w:t>
            </w:r>
            <w:r>
              <w:rPr>
                <w:rFonts w:hint="eastAsia" w:ascii="仿宋_GB2312" w:hAnsi="宋体" w:eastAsia="仿宋_GB2312"/>
                <w:sz w:val="21"/>
                <w:szCs w:val="18"/>
              </w:rPr>
              <w:t>登记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sz w:val="21"/>
                <w:szCs w:val="18"/>
              </w:rPr>
              <w:t>-2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广东省级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省人民政府通报表扬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加15分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sz w:val="21"/>
                <w:szCs w:val="18"/>
              </w:rPr>
              <w:t>-3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4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省住建厅通报表扬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加10分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1"/>
                <w:szCs w:val="18"/>
              </w:rPr>
              <w:t>-4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佛山市、区级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市人民政府通报表扬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加10分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1"/>
                <w:szCs w:val="18"/>
              </w:rPr>
              <w:t>-5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4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  <w:lang w:val="en-US" w:eastAsia="zh-CN"/>
              </w:rPr>
              <w:t>白蚁防治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</w:rPr>
              <w:t>行政主管</w:t>
            </w:r>
            <w:r>
              <w:rPr>
                <w:rFonts w:hint="eastAsia" w:ascii="仿宋_GB2312" w:eastAsia="仿宋_GB2312"/>
                <w:sz w:val="21"/>
                <w:szCs w:val="18"/>
              </w:rPr>
              <w:t>部门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</w:rPr>
              <w:t>、各区人民政府</w:t>
            </w:r>
            <w:r>
              <w:rPr>
                <w:rFonts w:hint="eastAsia" w:ascii="仿宋_GB2312" w:eastAsia="仿宋_GB2312"/>
                <w:sz w:val="21"/>
                <w:szCs w:val="18"/>
              </w:rPr>
              <w:t>通报表扬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加7分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1"/>
                <w:szCs w:val="18"/>
              </w:rPr>
              <w:t>-6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4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  <w:highlight w:val="none"/>
              </w:rPr>
              <w:t>各区</w:t>
            </w:r>
            <w:r>
              <w:rPr>
                <w:rFonts w:hint="eastAsia" w:ascii="仿宋_GB2312" w:eastAsia="仿宋_GB2312"/>
                <w:sz w:val="21"/>
                <w:szCs w:val="18"/>
                <w:highlight w:val="none"/>
                <w:lang w:val="en-US" w:eastAsia="zh-CN"/>
              </w:rPr>
              <w:t>白蚁防治</w:t>
            </w:r>
            <w:r>
              <w:rPr>
                <w:rFonts w:hint="eastAsia" w:ascii="仿宋_GB2312" w:eastAsia="仿宋_GB2312"/>
                <w:sz w:val="21"/>
                <w:szCs w:val="18"/>
                <w:highlight w:val="none"/>
              </w:rPr>
              <w:t>行政主管部门通报表扬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hAnsi="宋体" w:eastAsia="仿宋_GB2312"/>
                <w:sz w:val="21"/>
                <w:szCs w:val="18"/>
              </w:rPr>
              <w:t>加5分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18"/>
                <w:lang w:val="en-US" w:eastAsia="zh-CN"/>
              </w:rPr>
              <w:t>2-7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行业协会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highlight w:val="none"/>
                <w:lang w:eastAsia="zh-CN"/>
              </w:rPr>
              <w:t>省白蚁学会</w:t>
            </w:r>
            <w:r>
              <w:rPr>
                <w:rFonts w:hint="eastAsia" w:ascii="仿宋_GB2312" w:eastAsia="仿宋_GB2312"/>
                <w:sz w:val="21"/>
                <w:szCs w:val="18"/>
                <w:highlight w:val="none"/>
              </w:rPr>
              <w:t>通报表扬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18"/>
                <w:highlight w:val="none"/>
              </w:rPr>
              <w:t>加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18"/>
                <w:highlight w:val="none"/>
              </w:rPr>
              <w:t>分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一年内累计加分上限不超过</w:t>
            </w:r>
            <w:r>
              <w:rPr>
                <w:rFonts w:hint="eastAsia" w:ascii="仿宋_GB2312" w:eastAsia="仿宋_GB2312"/>
                <w:sz w:val="21"/>
                <w:szCs w:val="1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18"/>
                <w:lang w:val="en-US" w:eastAsia="zh-CN"/>
              </w:rPr>
              <w:t>2-8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4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highlight w:val="none"/>
                <w:lang w:eastAsia="zh-CN"/>
              </w:rPr>
              <w:t>市白蚁防治行业协会</w:t>
            </w:r>
            <w:r>
              <w:rPr>
                <w:rFonts w:hint="eastAsia" w:ascii="仿宋_GB2312" w:eastAsia="仿宋_GB2312"/>
                <w:sz w:val="21"/>
                <w:szCs w:val="18"/>
                <w:highlight w:val="none"/>
              </w:rPr>
              <w:t>通报表扬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18"/>
                <w:highlight w:val="none"/>
              </w:rPr>
              <w:t>加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18"/>
                <w:highlight w:val="none"/>
              </w:rPr>
              <w:t>分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18"/>
                <w:lang w:val="en-US" w:eastAsia="zh-CN"/>
              </w:rPr>
              <w:t>2-9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4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highlight w:val="none"/>
                <w:lang w:eastAsia="zh-CN"/>
              </w:rPr>
              <w:t>区白蚁防治行业协会</w:t>
            </w:r>
            <w:r>
              <w:rPr>
                <w:rFonts w:hint="eastAsia" w:ascii="仿宋_GB2312" w:eastAsia="仿宋_GB2312"/>
                <w:sz w:val="21"/>
                <w:szCs w:val="18"/>
                <w:highlight w:val="none"/>
              </w:rPr>
              <w:t>通报表扬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18"/>
                <w:highlight w:val="none"/>
                <w:lang w:eastAsia="zh-CN"/>
              </w:rPr>
              <w:t>加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18"/>
                <w:highlight w:val="none"/>
                <w:lang w:val="en-US" w:eastAsia="zh-CN"/>
              </w:rPr>
              <w:t>1分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1"/>
                <w:szCs w:val="18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1"/>
                <w:szCs w:val="18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仿宋_GB2312" w:eastAsia="仿宋_GB2312"/>
                <w:b w:val="0"/>
                <w:bCs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18"/>
                <w:highlight w:val="none"/>
                <w:lang w:val="en-US" w:eastAsia="zh-CN"/>
              </w:rPr>
              <w:t>落实质保15年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18"/>
                <w:highlight w:val="none"/>
                <w:lang w:val="en-US" w:eastAsia="zh-CN"/>
              </w:rPr>
              <w:t>项目在质保期15年内按有关规定完成年度复查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18"/>
                <w:highlight w:val="none"/>
                <w:lang w:val="en-US" w:eastAsia="zh-CN"/>
              </w:rPr>
              <w:t>每个项目加0.1分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lang w:val="en-US" w:eastAsia="zh-CN"/>
              </w:rPr>
              <w:t>1年（按质保期内计算）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18"/>
                <w:highlight w:val="none"/>
                <w:lang w:val="en-US" w:eastAsia="zh-CN"/>
              </w:rPr>
              <w:t>有合同、视频、照片等佐证材料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由项目所在地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区白蚁防治</w:t>
            </w:r>
            <w:r>
              <w:rPr>
                <w:rFonts w:hint="eastAsia" w:ascii="仿宋_GB2312" w:eastAsia="仿宋_GB2312"/>
                <w:sz w:val="21"/>
                <w:szCs w:val="18"/>
              </w:rPr>
              <w:t>行政主管部门负责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1"/>
                <w:szCs w:val="18"/>
              </w:rPr>
              <w:t>登记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一年内累计加分上限不超过</w:t>
            </w:r>
            <w:r>
              <w:rPr>
                <w:rFonts w:hint="eastAsia" w:ascii="仿宋_GB2312" w:eastAsia="仿宋_GB2312"/>
                <w:sz w:val="21"/>
                <w:szCs w:val="1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1"/>
                <w:szCs w:val="18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18"/>
              </w:rPr>
            </w:pPr>
            <w:r>
              <w:rPr>
                <w:rFonts w:hint="eastAsia" w:ascii="仿宋_GB2312" w:eastAsia="仿宋_GB2312"/>
                <w:b/>
                <w:bCs w:val="0"/>
                <w:sz w:val="21"/>
                <w:szCs w:val="18"/>
                <w:lang w:eastAsia="zh-CN"/>
              </w:rPr>
              <w:t>协助政府开展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18"/>
                <w:highlight w:val="none"/>
              </w:rPr>
              <w:t>评审或检查工作</w:t>
            </w:r>
            <w:r>
              <w:rPr>
                <w:rFonts w:hint="eastAsia" w:ascii="仿宋_GB2312" w:eastAsia="仿宋_GB2312"/>
                <w:b/>
                <w:bCs w:val="0"/>
                <w:sz w:val="21"/>
                <w:szCs w:val="18"/>
                <w:lang w:eastAsia="zh-CN"/>
              </w:rPr>
              <w:t>加分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18"/>
                <w:highlight w:val="none"/>
              </w:rPr>
              <w:t>企业委派相关人员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18"/>
                <w:lang w:eastAsia="zh-CN"/>
              </w:rPr>
              <w:t>协助政府开展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18"/>
                <w:highlight w:val="none"/>
              </w:rPr>
              <w:t>评审或检查工作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18"/>
                <w:highlight w:val="none"/>
              </w:rPr>
              <w:t>的</w:t>
            </w:r>
          </w:p>
        </w:tc>
        <w:tc>
          <w:tcPr>
            <w:tcW w:w="618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18"/>
                <w:highlight w:val="none"/>
              </w:rPr>
              <w:t>因工作需要，企业委派相关人员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18"/>
                <w:lang w:eastAsia="zh-CN"/>
              </w:rPr>
              <w:t>协助政府开展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18"/>
                <w:highlight w:val="none"/>
              </w:rPr>
              <w:t>评审或检查工作，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1"/>
                <w:szCs w:val="18"/>
                <w:highlight w:val="none"/>
              </w:rPr>
              <w:t>受到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  <w:lang w:eastAsia="zh-CN"/>
              </w:rPr>
              <w:t>白蚁防治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</w:rPr>
              <w:t>行政</w:t>
            </w:r>
            <w:r>
              <w:rPr>
                <w:rFonts w:hint="eastAsia" w:ascii="仿宋_GB2312" w:hAnsi="宋体" w:eastAsia="仿宋_GB2312"/>
                <w:sz w:val="21"/>
                <w:szCs w:val="18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1"/>
                <w:szCs w:val="18"/>
                <w:highlight w:val="none"/>
              </w:rPr>
              <w:t>表彰的，每人次加1分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1年（从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  <w:lang w:eastAsia="zh-CN"/>
              </w:rPr>
              <w:t>白蚁防治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</w:rPr>
              <w:t>行政</w:t>
            </w:r>
            <w:r>
              <w:rPr>
                <w:rFonts w:hint="eastAsia" w:ascii="仿宋_GB2312" w:hAnsi="宋体" w:eastAsia="仿宋_GB2312"/>
                <w:sz w:val="21"/>
                <w:szCs w:val="18"/>
              </w:rPr>
              <w:t>主管部门</w:t>
            </w:r>
            <w:r>
              <w:rPr>
                <w:rFonts w:hint="eastAsia" w:ascii="仿宋_GB2312" w:hAnsi="宋体" w:eastAsia="仿宋_GB2312"/>
                <w:sz w:val="21"/>
                <w:szCs w:val="18"/>
                <w:lang w:eastAsia="zh-CN"/>
              </w:rPr>
              <w:t>表彰文件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印发</w:t>
            </w:r>
            <w:r>
              <w:rPr>
                <w:rFonts w:hint="eastAsia" w:ascii="仿宋_GB2312" w:eastAsia="仿宋_GB2312"/>
                <w:sz w:val="21"/>
                <w:szCs w:val="18"/>
              </w:rPr>
              <w:t>之日起计算</w:t>
            </w: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</w:rPr>
              <w:t>以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  <w:lang w:eastAsia="zh-CN"/>
              </w:rPr>
              <w:t>白蚁防治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18"/>
              </w:rPr>
              <w:t>行政</w:t>
            </w:r>
            <w:r>
              <w:rPr>
                <w:rFonts w:hint="eastAsia" w:ascii="仿宋_GB2312" w:hAnsi="宋体" w:eastAsia="仿宋_GB2312"/>
                <w:sz w:val="21"/>
                <w:szCs w:val="18"/>
              </w:rPr>
              <w:t>主管部门</w:t>
            </w:r>
            <w:r>
              <w:rPr>
                <w:rFonts w:hint="eastAsia" w:ascii="仿宋_GB2312" w:eastAsia="仿宋_GB2312"/>
                <w:sz w:val="21"/>
                <w:szCs w:val="18"/>
              </w:rPr>
              <w:t>确认为准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18"/>
                <w:lang w:eastAsia="zh-CN"/>
              </w:rPr>
              <w:t>由各区白蚁防治行政主管部门负责审核登记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1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18"/>
                <w:lang w:val="zh-CN" w:eastAsia="zh-CN"/>
              </w:rPr>
              <w:t>一年累计加分上限不超过 5 分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13DB"/>
    <w:rsid w:val="169906F0"/>
    <w:rsid w:val="290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页脚 New New New New New New"/>
    <w:basedOn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2024-08-30T03:47:00Z</dcterms:created>
  <dc:creator>kikho</dc:creator>
  <cp:lastModifiedBy>kikho</cp:lastModifiedBy>
  <dcterms:modified xsi:type="dcterms:W3CDTF">2024-08-30T03:55:30Z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3F7C6F386E364B7EB18E65A2E732118B</vt:lpwstr>
  </property>
</Properties>
</file>