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color w:val="auto"/>
          <w:spacing w:val="8"/>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8"/>
          <w:kern w:val="0"/>
          <w:sz w:val="44"/>
          <w:szCs w:val="44"/>
          <w:highlight w:val="none"/>
          <w:u w:val="none"/>
          <w:lang w:val="en-US" w:eastAsia="zh-CN"/>
        </w:rPr>
      </w:pPr>
      <w:r>
        <w:rPr>
          <w:rFonts w:hint="eastAsia" w:ascii="方正小标宋简体" w:hAnsi="方正小标宋简体" w:eastAsia="方正小标宋简体" w:cs="方正小标宋简体"/>
          <w:b w:val="0"/>
          <w:bCs w:val="0"/>
          <w:color w:val="auto"/>
          <w:spacing w:val="8"/>
          <w:kern w:val="0"/>
          <w:sz w:val="44"/>
          <w:szCs w:val="44"/>
          <w:highlight w:val="none"/>
          <w:u w:val="none"/>
          <w:lang w:val="en-US" w:eastAsia="zh-CN"/>
        </w:rPr>
        <w:t>关于《佛山市工程建设项目招标代理机构及从业人员管理办法（试行）（征求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pacing w:val="8"/>
          <w:kern w:val="0"/>
          <w:sz w:val="32"/>
          <w:szCs w:val="32"/>
          <w:highlight w:val="none"/>
          <w:u w:val="none"/>
          <w:lang w:val="en-US" w:eastAsia="zh-CN" w:bidi="ar"/>
        </w:rPr>
      </w:pPr>
      <w:r>
        <w:rPr>
          <w:rFonts w:hint="eastAsia" w:ascii="方正小标宋简体" w:hAnsi="方正小标宋简体" w:eastAsia="方正小标宋简体" w:cs="方正小标宋简体"/>
          <w:b w:val="0"/>
          <w:bCs w:val="0"/>
          <w:color w:val="auto"/>
          <w:spacing w:val="8"/>
          <w:kern w:val="0"/>
          <w:sz w:val="44"/>
          <w:szCs w:val="44"/>
          <w:highlight w:val="none"/>
          <w:u w:val="none"/>
          <w:lang w:val="en-US" w:eastAsia="zh-CN"/>
        </w:rPr>
        <w:t>公众意见稿）》的起草说明</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黑体" w:hAnsi="黑体" w:eastAsia="黑体" w:cs="黑体"/>
          <w:b w:val="0"/>
          <w:bCs w:val="0"/>
          <w:color w:val="auto"/>
          <w:spacing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方正黑体_GBK" w:hAnsi="方正黑体_GBK" w:eastAsia="方正黑体_GBK" w:cs="方正黑体_GBK"/>
          <w:b w:val="0"/>
          <w:bCs w:val="0"/>
          <w:color w:val="auto"/>
          <w:spacing w:val="1"/>
          <w:sz w:val="32"/>
          <w:szCs w:val="32"/>
          <w:lang w:val="en-US" w:eastAsia="zh-CN"/>
        </w:rPr>
      </w:pPr>
      <w:r>
        <w:rPr>
          <w:rFonts w:hint="eastAsia" w:ascii="黑体" w:hAnsi="黑体" w:eastAsia="黑体" w:cs="黑体"/>
          <w:b w:val="0"/>
          <w:bCs w:val="0"/>
          <w:color w:val="auto"/>
          <w:spacing w:val="1"/>
          <w:sz w:val="32"/>
          <w:szCs w:val="32"/>
          <w:lang w:val="en-US" w:eastAsia="zh-CN"/>
        </w:rPr>
        <w:t>一、起草背景</w:t>
      </w:r>
      <w:bookmarkStart w:id="0" w:name="_GoBack"/>
      <w:bookmarkEnd w:id="0"/>
    </w:p>
    <w:p>
      <w:pPr>
        <w:keepNext w:val="0"/>
        <w:keepLines w:val="0"/>
        <w:widowControl/>
        <w:suppressLineNumbers w:val="0"/>
        <w:spacing w:before="0" w:beforeAutospacing="0" w:after="0" w:afterAutospacing="0" w:line="560" w:lineRule="exact"/>
        <w:ind w:left="0" w:right="0" w:firstLine="640"/>
        <w:jc w:val="both"/>
        <w:textAlignment w:val="baseline"/>
        <w:rPr>
          <w:rFonts w:ascii="仿宋_GB2312" w:hAnsi="Times New Roman" w:eastAsia="仿宋_GB2312" w:cs="仿宋_GB2312"/>
          <w:color w:val="auto"/>
          <w:kern w:val="0"/>
          <w:sz w:val="32"/>
          <w:szCs w:val="32"/>
          <w:shd w:val="clear" w:fill="FFFFFF"/>
          <w:vertAlign w:val="baseline"/>
          <w:lang w:val="en-US" w:eastAsia="zh-CN" w:bidi="ar"/>
        </w:rPr>
      </w:pPr>
      <w:r>
        <w:rPr>
          <w:rFonts w:ascii="仿宋_GB2312" w:hAnsi="Times New Roman" w:eastAsia="仿宋_GB2312" w:cs="仿宋_GB2312"/>
          <w:color w:val="auto"/>
          <w:kern w:val="0"/>
          <w:sz w:val="32"/>
          <w:szCs w:val="32"/>
          <w:shd w:val="clear" w:fill="FFFFFF"/>
          <w:vertAlign w:val="baseline"/>
          <w:lang w:val="en-US" w:eastAsia="zh-CN" w:bidi="ar"/>
        </w:rPr>
        <w:t>自2018年起，国家取消了招标代理机构资格认定和招标师职业资格考试，招标代理机构和</w:t>
      </w:r>
      <w:r>
        <w:rPr>
          <w:rFonts w:hint="eastAsia" w:ascii="仿宋_GB2312" w:hAnsi="Times New Roman" w:eastAsia="仿宋_GB2312" w:cs="仿宋_GB2312"/>
          <w:color w:val="auto"/>
          <w:kern w:val="0"/>
          <w:sz w:val="32"/>
          <w:szCs w:val="32"/>
          <w:shd w:val="clear" w:fill="FFFFFF"/>
          <w:vertAlign w:val="baseline"/>
          <w:lang w:val="en-US" w:eastAsia="zh-CN" w:bidi="ar"/>
        </w:rPr>
        <w:t>从业</w:t>
      </w:r>
      <w:r>
        <w:rPr>
          <w:rFonts w:ascii="仿宋_GB2312" w:hAnsi="Times New Roman" w:eastAsia="仿宋_GB2312" w:cs="仿宋_GB2312"/>
          <w:color w:val="auto"/>
          <w:kern w:val="0"/>
          <w:sz w:val="32"/>
          <w:szCs w:val="32"/>
          <w:shd w:val="clear" w:fill="FFFFFF"/>
          <w:vertAlign w:val="baseline"/>
          <w:lang w:val="en-US" w:eastAsia="zh-CN" w:bidi="ar"/>
        </w:rPr>
        <w:t>人员准入实现零门槛</w:t>
      </w:r>
      <w:r>
        <w:rPr>
          <w:rFonts w:hint="eastAsia" w:ascii="仿宋_GB2312" w:hAnsi="Times New Roman" w:eastAsia="仿宋_GB2312" w:cs="仿宋_GB2312"/>
          <w:color w:val="auto"/>
          <w:kern w:val="0"/>
          <w:sz w:val="32"/>
          <w:szCs w:val="32"/>
          <w:shd w:val="clear" w:fill="FFFFFF"/>
          <w:vertAlign w:val="baseline"/>
          <w:lang w:val="en-US" w:eastAsia="zh-CN" w:bidi="ar"/>
        </w:rPr>
        <w:t>，大批</w:t>
      </w:r>
      <w:r>
        <w:rPr>
          <w:rFonts w:ascii="仿宋_GB2312" w:hAnsi="Times New Roman" w:eastAsia="仿宋_GB2312" w:cs="仿宋_GB2312"/>
          <w:color w:val="auto"/>
          <w:kern w:val="0"/>
          <w:sz w:val="32"/>
          <w:szCs w:val="32"/>
          <w:shd w:val="clear" w:fill="FFFFFF"/>
          <w:vertAlign w:val="baseline"/>
          <w:lang w:val="en-US" w:eastAsia="zh-CN" w:bidi="ar"/>
        </w:rPr>
        <w:t>机构</w:t>
      </w:r>
      <w:r>
        <w:rPr>
          <w:rFonts w:hint="eastAsia" w:ascii="仿宋_GB2312" w:hAnsi="Times New Roman" w:eastAsia="仿宋_GB2312" w:cs="仿宋_GB2312"/>
          <w:color w:val="auto"/>
          <w:kern w:val="0"/>
          <w:sz w:val="32"/>
          <w:szCs w:val="32"/>
          <w:shd w:val="clear" w:fill="FFFFFF"/>
          <w:vertAlign w:val="baseline"/>
          <w:lang w:val="en-US" w:eastAsia="zh-CN" w:bidi="ar"/>
        </w:rPr>
        <w:t>和个人</w:t>
      </w:r>
      <w:r>
        <w:rPr>
          <w:rFonts w:ascii="仿宋_GB2312" w:hAnsi="Times New Roman" w:eastAsia="仿宋_GB2312" w:cs="仿宋_GB2312"/>
          <w:color w:val="auto"/>
          <w:kern w:val="0"/>
          <w:sz w:val="32"/>
          <w:szCs w:val="32"/>
          <w:shd w:val="clear" w:fill="FFFFFF"/>
          <w:vertAlign w:val="baseline"/>
          <w:lang w:val="en-US" w:eastAsia="zh-CN" w:bidi="ar"/>
        </w:rPr>
        <w:t>进入招标代理市场，滋生了一系列问题：</w:t>
      </w:r>
      <w:r>
        <w:rPr>
          <w:rFonts w:hint="eastAsia" w:ascii="仿宋_GB2312" w:hAnsi="Times New Roman" w:eastAsia="仿宋_GB2312" w:cs="仿宋_GB2312"/>
          <w:color w:val="auto"/>
          <w:kern w:val="0"/>
          <w:sz w:val="32"/>
          <w:szCs w:val="32"/>
          <w:shd w:val="clear" w:fill="FFFFFF"/>
          <w:vertAlign w:val="baseline"/>
          <w:lang w:val="en-US" w:eastAsia="zh-CN" w:bidi="ar"/>
        </w:rPr>
        <w:t>招标</w:t>
      </w:r>
      <w:r>
        <w:rPr>
          <w:rFonts w:ascii="仿宋_GB2312" w:hAnsi="Times New Roman" w:eastAsia="仿宋_GB2312" w:cs="仿宋_GB2312"/>
          <w:color w:val="auto"/>
          <w:kern w:val="0"/>
          <w:sz w:val="32"/>
          <w:szCs w:val="32"/>
          <w:shd w:val="clear" w:fill="FFFFFF"/>
          <w:vertAlign w:val="baseline"/>
          <w:lang w:val="en-US" w:eastAsia="zh-CN" w:bidi="ar"/>
        </w:rPr>
        <w:t>代理机构良莠不齐、鱼龙混杂现象突出；部分</w:t>
      </w:r>
      <w:r>
        <w:rPr>
          <w:rFonts w:hint="eastAsia" w:ascii="仿宋_GB2312" w:hAnsi="Times New Roman" w:eastAsia="仿宋_GB2312" w:cs="仿宋_GB2312"/>
          <w:color w:val="auto"/>
          <w:kern w:val="0"/>
          <w:sz w:val="32"/>
          <w:szCs w:val="32"/>
          <w:shd w:val="clear" w:fill="FFFFFF"/>
          <w:vertAlign w:val="baseline"/>
          <w:lang w:val="en-US" w:eastAsia="zh-CN" w:bidi="ar"/>
        </w:rPr>
        <w:t>招标</w:t>
      </w:r>
      <w:r>
        <w:rPr>
          <w:rFonts w:ascii="仿宋_GB2312" w:hAnsi="Times New Roman" w:eastAsia="仿宋_GB2312" w:cs="仿宋_GB2312"/>
          <w:color w:val="auto"/>
          <w:kern w:val="0"/>
          <w:sz w:val="32"/>
          <w:szCs w:val="32"/>
          <w:shd w:val="clear" w:fill="FFFFFF"/>
          <w:vertAlign w:val="baseline"/>
          <w:lang w:val="en-US" w:eastAsia="zh-CN" w:bidi="ar"/>
        </w:rPr>
        <w:t>代理机构违背市场竞争准则，压低代理费恶意</w:t>
      </w:r>
      <w:r>
        <w:rPr>
          <w:rFonts w:hint="eastAsia" w:ascii="仿宋_GB2312" w:hAnsi="Times New Roman" w:eastAsia="仿宋_GB2312" w:cs="仿宋_GB2312"/>
          <w:color w:val="auto"/>
          <w:kern w:val="0"/>
          <w:sz w:val="32"/>
          <w:szCs w:val="32"/>
          <w:shd w:val="clear" w:fill="FFFFFF"/>
          <w:vertAlign w:val="baseline"/>
          <w:lang w:val="en-US" w:eastAsia="zh-CN" w:bidi="ar"/>
        </w:rPr>
        <w:t>低价</w:t>
      </w:r>
      <w:r>
        <w:rPr>
          <w:rFonts w:ascii="仿宋_GB2312" w:hAnsi="Times New Roman" w:eastAsia="仿宋_GB2312" w:cs="仿宋_GB2312"/>
          <w:color w:val="auto"/>
          <w:kern w:val="0"/>
          <w:sz w:val="32"/>
          <w:szCs w:val="32"/>
          <w:shd w:val="clear" w:fill="FFFFFF"/>
          <w:vertAlign w:val="baseline"/>
          <w:lang w:val="en-US" w:eastAsia="zh-CN" w:bidi="ar"/>
        </w:rPr>
        <w:t>竞争，甚至零费用代理，扰乱市场秩序；个别</w:t>
      </w:r>
      <w:r>
        <w:rPr>
          <w:rFonts w:hint="eastAsia" w:ascii="仿宋_GB2312" w:hAnsi="Times New Roman" w:eastAsia="仿宋_GB2312" w:cs="仿宋_GB2312"/>
          <w:color w:val="auto"/>
          <w:kern w:val="0"/>
          <w:sz w:val="32"/>
          <w:szCs w:val="32"/>
          <w:shd w:val="clear" w:fill="FFFFFF"/>
          <w:vertAlign w:val="baseline"/>
          <w:lang w:val="en-US" w:eastAsia="zh-CN" w:bidi="ar"/>
        </w:rPr>
        <w:t>招标</w:t>
      </w:r>
      <w:r>
        <w:rPr>
          <w:rFonts w:ascii="仿宋_GB2312" w:hAnsi="Times New Roman" w:eastAsia="仿宋_GB2312" w:cs="仿宋_GB2312"/>
          <w:color w:val="auto"/>
          <w:kern w:val="0"/>
          <w:sz w:val="32"/>
          <w:szCs w:val="32"/>
          <w:shd w:val="clear" w:fill="FFFFFF"/>
          <w:vertAlign w:val="baseline"/>
          <w:lang w:val="en-US" w:eastAsia="zh-CN" w:bidi="ar"/>
        </w:rPr>
        <w:t>代理机构为了争取业务或牟取不正当利益，充当围标串标的帮手，泄露</w:t>
      </w:r>
      <w:r>
        <w:rPr>
          <w:rFonts w:hint="eastAsia" w:ascii="仿宋_GB2312" w:hAnsi="Times New Roman" w:eastAsia="仿宋_GB2312" w:cs="仿宋_GB2312"/>
          <w:color w:val="auto"/>
          <w:kern w:val="0"/>
          <w:sz w:val="32"/>
          <w:szCs w:val="32"/>
          <w:shd w:val="clear" w:fill="FFFFFF"/>
          <w:vertAlign w:val="baseline"/>
          <w:lang w:val="en-US" w:eastAsia="zh-CN" w:bidi="ar"/>
        </w:rPr>
        <w:t>招标方案</w:t>
      </w:r>
      <w:r>
        <w:rPr>
          <w:rFonts w:ascii="仿宋_GB2312" w:hAnsi="Times New Roman" w:eastAsia="仿宋_GB2312" w:cs="仿宋_GB2312"/>
          <w:color w:val="auto"/>
          <w:kern w:val="0"/>
          <w:sz w:val="32"/>
          <w:szCs w:val="32"/>
          <w:shd w:val="clear" w:fill="FFFFFF"/>
          <w:vertAlign w:val="baseline"/>
          <w:lang w:val="en-US" w:eastAsia="zh-CN" w:bidi="ar"/>
        </w:rPr>
        <w:t>信息，为围标串标提供条件甚至成为围标串标的组织者和策划者。</w:t>
      </w:r>
    </w:p>
    <w:p>
      <w:pPr>
        <w:keepNext w:val="0"/>
        <w:keepLines w:val="0"/>
        <w:widowControl/>
        <w:suppressLineNumbers w:val="0"/>
        <w:spacing w:before="0" w:beforeAutospacing="0" w:after="0" w:afterAutospacing="0" w:line="560" w:lineRule="exact"/>
        <w:ind w:left="0" w:right="0" w:firstLine="640"/>
        <w:jc w:val="both"/>
        <w:textAlignment w:val="baseline"/>
        <w:rPr>
          <w:rFonts w:hint="eastAsia" w:ascii="仿宋_GB2312" w:hAnsi="Times New Roman" w:eastAsia="仿宋_GB2312" w:cs="仿宋_GB2312"/>
          <w:color w:val="auto"/>
          <w:sz w:val="32"/>
          <w:szCs w:val="32"/>
          <w:shd w:val="clear" w:fill="FFFFFF"/>
        </w:rPr>
      </w:pPr>
      <w:r>
        <w:rPr>
          <w:rFonts w:hint="eastAsia" w:ascii="仿宋_GB2312" w:hAnsi="Times New Roman" w:eastAsia="仿宋_GB2312" w:cs="仿宋_GB2312"/>
          <w:color w:val="auto"/>
          <w:sz w:val="32"/>
          <w:szCs w:val="32"/>
          <w:shd w:val="clear" w:fill="FFFFFF"/>
          <w:lang w:eastAsia="zh-CN"/>
        </w:rPr>
        <w:t>为规范招标代理服务行为，</w:t>
      </w:r>
      <w:r>
        <w:rPr>
          <w:rFonts w:hint="eastAsia" w:ascii="仿宋_GB2312" w:hAnsi="Times New Roman" w:eastAsia="仿宋_GB2312" w:cs="仿宋_GB2312"/>
          <w:color w:val="auto"/>
          <w:sz w:val="32"/>
          <w:szCs w:val="32"/>
          <w:shd w:val="clear" w:fill="FFFFFF"/>
        </w:rPr>
        <w:t>国家发改委</w:t>
      </w:r>
      <w:r>
        <w:rPr>
          <w:rFonts w:hint="eastAsia" w:ascii="仿宋_GB2312" w:hAnsi="Times New Roman" w:eastAsia="仿宋_GB2312" w:cs="仿宋_GB2312"/>
          <w:color w:val="auto"/>
          <w:sz w:val="32"/>
          <w:szCs w:val="32"/>
          <w:shd w:val="clear" w:fill="FFFFFF"/>
          <w:lang w:eastAsia="zh-CN"/>
        </w:rPr>
        <w:t>于</w:t>
      </w:r>
      <w:r>
        <w:rPr>
          <w:rFonts w:hint="eastAsia" w:ascii="仿宋_GB2312" w:hAnsi="Times New Roman" w:eastAsia="仿宋_GB2312" w:cs="仿宋_GB2312"/>
          <w:color w:val="auto"/>
          <w:sz w:val="32"/>
          <w:szCs w:val="32"/>
          <w:shd w:val="clear" w:fill="FFFFFF"/>
          <w:lang w:val="en-US" w:eastAsia="zh-CN"/>
        </w:rPr>
        <w:t>2022年发布</w:t>
      </w:r>
      <w:r>
        <w:rPr>
          <w:rFonts w:hint="eastAsia" w:ascii="仿宋_GB2312" w:hAnsi="Times New Roman" w:eastAsia="仿宋_GB2312" w:cs="仿宋_GB2312"/>
          <w:color w:val="auto"/>
          <w:sz w:val="32"/>
          <w:szCs w:val="32"/>
          <w:shd w:val="clear" w:fill="FFFFFF"/>
        </w:rPr>
        <w:t>《关于严格执行招标投标法规制度进一步规范招标投标主体行为的若干意见》</w:t>
      </w:r>
      <w:r>
        <w:rPr>
          <w:rFonts w:hint="eastAsia" w:ascii="仿宋_GB2312" w:hAnsi="Times New Roman" w:eastAsia="仿宋_GB2312" w:cs="仿宋_GB2312"/>
          <w:color w:val="auto"/>
          <w:sz w:val="32"/>
          <w:szCs w:val="32"/>
          <w:shd w:val="clear" w:fill="FFFFFF"/>
          <w:lang w:eastAsia="zh-CN"/>
        </w:rPr>
        <w:t>，</w:t>
      </w:r>
      <w:r>
        <w:rPr>
          <w:rFonts w:hint="eastAsia" w:ascii="仿宋_GB2312" w:hAnsi="Times New Roman" w:eastAsia="仿宋_GB2312" w:cs="仿宋_GB2312"/>
          <w:color w:val="auto"/>
          <w:sz w:val="32"/>
          <w:szCs w:val="32"/>
          <w:shd w:val="clear" w:fill="FFFFFF"/>
        </w:rPr>
        <w:t>要</w:t>
      </w:r>
      <w:r>
        <w:rPr>
          <w:rFonts w:hint="eastAsia" w:ascii="仿宋_GB2312" w:hAnsi="Times New Roman" w:eastAsia="仿宋_GB2312" w:cs="仿宋_GB2312"/>
          <w:color w:val="auto"/>
          <w:sz w:val="32"/>
          <w:szCs w:val="32"/>
          <w:shd w:val="clear" w:fill="FFFFFF"/>
          <w:lang w:eastAsia="zh-CN"/>
        </w:rPr>
        <w:t>求</w:t>
      </w:r>
      <w:r>
        <w:rPr>
          <w:rFonts w:hint="eastAsia" w:ascii="仿宋_GB2312" w:hAnsi="Times New Roman" w:eastAsia="仿宋_GB2312" w:cs="仿宋_GB2312"/>
          <w:color w:val="auto"/>
          <w:sz w:val="32"/>
          <w:szCs w:val="32"/>
          <w:shd w:val="clear" w:fill="FFFFFF"/>
        </w:rPr>
        <w:t>加强对在本地区执业的招标代理机构及从业人员的动态监管，开展招标代理机构信用评价</w:t>
      </w:r>
      <w:r>
        <w:rPr>
          <w:rFonts w:hint="eastAsia" w:ascii="仿宋_GB2312" w:hAnsi="Times New Roman" w:eastAsia="仿宋_GB2312" w:cs="仿宋_GB2312"/>
          <w:color w:val="auto"/>
          <w:sz w:val="32"/>
          <w:szCs w:val="32"/>
          <w:shd w:val="clear" w:fill="FFFFFF"/>
          <w:lang w:eastAsia="zh-CN"/>
        </w:rPr>
        <w:t>，</w:t>
      </w:r>
      <w:r>
        <w:rPr>
          <w:rFonts w:hint="eastAsia" w:ascii="仿宋_GB2312" w:hAnsi="Times New Roman" w:eastAsia="仿宋_GB2312" w:cs="仿宋_GB2312"/>
          <w:color w:val="auto"/>
          <w:sz w:val="32"/>
          <w:szCs w:val="32"/>
          <w:shd w:val="clear" w:fill="FFFFFF"/>
        </w:rPr>
        <w:t>为招标人选择招标代理机构提供参考，推动提升招标代理服务能力。</w:t>
      </w:r>
    </w:p>
    <w:p>
      <w:pPr>
        <w:keepNext w:val="0"/>
        <w:keepLines w:val="0"/>
        <w:widowControl/>
        <w:suppressLineNumbers w:val="0"/>
        <w:spacing w:before="0" w:beforeAutospacing="0" w:after="0" w:afterAutospacing="0" w:line="560" w:lineRule="exact"/>
        <w:ind w:left="0" w:right="0" w:firstLine="640"/>
        <w:jc w:val="both"/>
        <w:textAlignment w:val="baseline"/>
        <w:rPr>
          <w:rFonts w:ascii="仿宋_GB2312" w:hAnsi="Times New Roman" w:eastAsia="仿宋_GB2312" w:cs="仿宋_GB2312"/>
          <w:color w:val="auto"/>
          <w:kern w:val="0"/>
          <w:sz w:val="32"/>
          <w:szCs w:val="32"/>
          <w:shd w:val="clear" w:fill="FFFFFF"/>
          <w:vertAlign w:val="baseline"/>
          <w:lang w:val="en-US" w:eastAsia="zh-CN" w:bidi="ar"/>
        </w:rPr>
      </w:pPr>
      <w:r>
        <w:rPr>
          <w:rFonts w:hint="eastAsia" w:ascii="仿宋_GB2312" w:hAnsi="Times New Roman" w:eastAsia="仿宋_GB2312" w:cs="仿宋_GB2312"/>
          <w:color w:val="auto"/>
          <w:sz w:val="32"/>
          <w:szCs w:val="32"/>
          <w:shd w:val="clear" w:fill="FFFFFF"/>
          <w:lang w:eastAsia="zh-CN"/>
        </w:rPr>
        <w:t>因此，</w:t>
      </w:r>
      <w:r>
        <w:rPr>
          <w:rFonts w:hint="eastAsia" w:ascii="仿宋_GB2312" w:hAnsi="Times New Roman" w:eastAsia="仿宋_GB2312" w:cs="仿宋_GB2312"/>
          <w:color w:val="auto"/>
          <w:kern w:val="0"/>
          <w:sz w:val="32"/>
          <w:szCs w:val="32"/>
          <w:shd w:val="clear" w:fill="FFFFFF"/>
          <w:vertAlign w:val="baseline"/>
          <w:lang w:val="en-US" w:eastAsia="zh-CN" w:bidi="ar"/>
        </w:rPr>
        <w:t>建立一个全市统一规范的招标代理机构及从业人员管理</w:t>
      </w:r>
      <w:r>
        <w:rPr>
          <w:rFonts w:hint="eastAsia" w:ascii="仿宋_GB2312" w:hAnsi="Times New Roman" w:eastAsia="仿宋_GB2312" w:cs="仿宋_GB2312"/>
          <w:color w:val="auto"/>
          <w:kern w:val="0"/>
          <w:sz w:val="32"/>
          <w:szCs w:val="32"/>
          <w:shd w:val="clear" w:fill="FFFFFF"/>
          <w:lang w:val="en-US" w:eastAsia="zh-CN" w:bidi="ar"/>
        </w:rPr>
        <w:t>制度尤为重要。</w:t>
      </w:r>
      <w:r>
        <w:rPr>
          <w:rFonts w:hint="eastAsia" w:ascii="仿宋_GB2312" w:hAnsi="仿宋_GB2312" w:eastAsia="仿宋_GB2312" w:cs="仿宋_GB2312"/>
          <w:color w:val="auto"/>
          <w:sz w:val="32"/>
          <w:szCs w:val="32"/>
          <w:highlight w:val="none"/>
          <w:lang w:val="en-US" w:eastAsia="zh-CN"/>
        </w:rPr>
        <w:t>根据《中华人民共和国招标投标法》及其实施条例、《广东省实施&lt;中华人民共和国招标投标法&gt;办法》《</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"https://www.pkulaw.com/chl/3ac5c9e15fe6dc81bdfb.html?way=textSlc"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国家发展改革委等部门关于严格执行招标投标法规制度进一步规范招标投标主体行为的若干意见</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w:t>
      </w:r>
      <w:r>
        <w:rPr>
          <w:rFonts w:hint="eastAsia" w:ascii="仿宋_GB2312" w:hAnsi="Times New Roman" w:eastAsia="仿宋_GB2312" w:cs="仿宋_GB2312"/>
          <w:color w:val="auto"/>
          <w:kern w:val="0"/>
          <w:sz w:val="32"/>
          <w:szCs w:val="32"/>
          <w:shd w:val="clear" w:fill="FFFFFF"/>
          <w:vertAlign w:val="baseline"/>
          <w:lang w:val="en-US" w:eastAsia="zh-CN" w:bidi="ar"/>
        </w:rPr>
        <w:t>有关要求，吸收借鉴湖南、云南、甘肃、杭州等省市对招标代理机构及从业人员的管理，结合我市实际制定了</w:t>
      </w:r>
      <w:r>
        <w:rPr>
          <w:rFonts w:hint="eastAsia" w:ascii="仿宋_GB2312" w:hAnsi="仿宋_GB2312" w:eastAsia="仿宋_GB2312" w:cs="仿宋_GB2312"/>
          <w:b w:val="0"/>
          <w:bCs w:val="0"/>
          <w:color w:val="auto"/>
          <w:spacing w:val="1"/>
          <w:sz w:val="32"/>
          <w:szCs w:val="32"/>
          <w:lang w:val="en-US" w:eastAsia="zh-CN"/>
        </w:rPr>
        <w:t>《管理办法》</w:t>
      </w:r>
      <w:r>
        <w:rPr>
          <w:rFonts w:hint="eastAsia" w:ascii="仿宋_GB2312" w:hAnsi="Times New Roman" w:eastAsia="仿宋_GB2312" w:cs="仿宋_GB2312"/>
          <w:color w:val="auto"/>
          <w:kern w:val="0"/>
          <w:sz w:val="32"/>
          <w:szCs w:val="32"/>
          <w:shd w:val="clear" w:fill="FFFFFF"/>
          <w:vertAlign w:val="baseline"/>
          <w:lang w:val="en-US" w:eastAsia="zh-CN" w:bidi="ar"/>
        </w:rPr>
        <w:t>。</w:t>
      </w:r>
    </w:p>
    <w:p>
      <w:pPr>
        <w:keepNext w:val="0"/>
        <w:keepLines w:val="0"/>
        <w:widowControl w:val="0"/>
        <w:suppressLineNumbers w:val="0"/>
        <w:spacing w:before="0" w:beforeAutospacing="0" w:after="0" w:afterAutospacing="0" w:line="560" w:lineRule="exact"/>
        <w:ind w:left="0" w:right="0" w:firstLine="644" w:firstLineChars="200"/>
        <w:jc w:val="left"/>
        <w:textAlignment w:val="auto"/>
        <w:rPr>
          <w:rFonts w:hint="eastAsia" w:ascii="黑体" w:hAnsi="黑体" w:eastAsia="黑体" w:cs="黑体"/>
          <w:color w:val="auto"/>
          <w:spacing w:val="1"/>
          <w:sz w:val="32"/>
          <w:szCs w:val="32"/>
        </w:rPr>
      </w:pPr>
      <w:r>
        <w:rPr>
          <w:rFonts w:hint="eastAsia" w:ascii="黑体" w:hAnsi="黑体" w:eastAsia="黑体" w:cs="黑体"/>
          <w:color w:val="auto"/>
          <w:spacing w:val="1"/>
          <w:kern w:val="2"/>
          <w:sz w:val="32"/>
          <w:szCs w:val="32"/>
          <w:shd w:val="clear"/>
          <w:vertAlign w:val="baseline"/>
          <w:lang w:val="en-US" w:eastAsia="zh-CN" w:bidi="ar"/>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《管理办法》共6章，分别为总则、从业管理、信息登记管理、招标代理选取和履约管理、监督管理和附则。</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第一章 总则，对《管理办法》的适用范围、代理活动原则、部门职责分工、代理管理系统功能要求、管理方式等方面作出规定。</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第二章 从业管理，对招标代理机构及从业人员的权利、义务，项目负责人的条件、职责、变更，</w:t>
      </w:r>
      <w:r>
        <w:rPr>
          <w:rFonts w:hint="default" w:ascii="仿宋_GB2312" w:hAnsi="仿宋_GB2312" w:eastAsia="仿宋_GB2312" w:cs="仿宋_GB2312"/>
          <w:b w:val="0"/>
          <w:bCs w:val="0"/>
          <w:color w:val="auto"/>
          <w:spacing w:val="1"/>
          <w:sz w:val="32"/>
          <w:szCs w:val="32"/>
          <w:highlight w:val="none"/>
          <w:lang w:val="en-US" w:eastAsia="zh-CN"/>
        </w:rPr>
        <w:t>代理机构及从业人员的</w:t>
      </w:r>
      <w:r>
        <w:rPr>
          <w:rFonts w:hint="eastAsia" w:ascii="仿宋_GB2312" w:hAnsi="仿宋_GB2312" w:eastAsia="仿宋_GB2312" w:cs="仿宋_GB2312"/>
          <w:b w:val="0"/>
          <w:bCs w:val="0"/>
          <w:color w:val="auto"/>
          <w:spacing w:val="1"/>
          <w:sz w:val="32"/>
          <w:szCs w:val="32"/>
          <w:highlight w:val="none"/>
          <w:lang w:val="en-US" w:eastAsia="zh-CN"/>
        </w:rPr>
        <w:t>回避事宜等方面作出规定。</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第三章 信息登记管理，对</w:t>
      </w:r>
      <w:r>
        <w:rPr>
          <w:rFonts w:hint="eastAsia" w:ascii="仿宋_GB2312" w:hAnsi="仿宋_GB2312" w:eastAsia="仿宋_GB2312" w:cs="仿宋_GB2312"/>
          <w:color w:val="auto"/>
          <w:sz w:val="32"/>
          <w:szCs w:val="32"/>
          <w:highlight w:val="none"/>
          <w:lang w:val="en-US" w:eastAsia="zh-CN"/>
        </w:rPr>
        <w:t>招标代理机构及从业人员的信息登记、信息更新、信息核查、核查结果异议等</w:t>
      </w:r>
      <w:r>
        <w:rPr>
          <w:rFonts w:hint="eastAsia" w:ascii="仿宋_GB2312" w:hAnsi="仿宋_GB2312" w:eastAsia="仿宋_GB2312" w:cs="仿宋_GB2312"/>
          <w:b w:val="0"/>
          <w:bCs w:val="0"/>
          <w:color w:val="auto"/>
          <w:spacing w:val="1"/>
          <w:sz w:val="32"/>
          <w:szCs w:val="32"/>
          <w:highlight w:val="none"/>
          <w:lang w:val="en-US" w:eastAsia="zh-CN"/>
        </w:rPr>
        <w:t>方面</w:t>
      </w:r>
      <w:r>
        <w:rPr>
          <w:rFonts w:hint="eastAsia" w:ascii="仿宋_GB2312" w:hAnsi="仿宋_GB2312" w:eastAsia="仿宋_GB2312" w:cs="仿宋_GB2312"/>
          <w:color w:val="auto"/>
          <w:sz w:val="32"/>
          <w:szCs w:val="32"/>
          <w:highlight w:val="none"/>
          <w:lang w:val="en-US" w:eastAsia="zh-CN"/>
        </w:rPr>
        <w:t>作出规定。</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第四章 招标代理选取和履约管理，围绕招标人对招标代理机构及从业人员的选取原则、选取程序、选取回避和合同网签、履约管理、违约责任等方面</w:t>
      </w:r>
      <w:r>
        <w:rPr>
          <w:rFonts w:hint="eastAsia" w:ascii="仿宋_GB2312" w:hAnsi="仿宋_GB2312" w:eastAsia="仿宋_GB2312" w:cs="仿宋_GB2312"/>
          <w:color w:val="auto"/>
          <w:sz w:val="32"/>
          <w:szCs w:val="32"/>
          <w:highlight w:val="none"/>
          <w:lang w:val="en-US" w:eastAsia="zh-CN"/>
        </w:rPr>
        <w:t>作出规定</w:t>
      </w:r>
      <w:r>
        <w:rPr>
          <w:rFonts w:hint="eastAsia" w:ascii="仿宋_GB2312" w:hAnsi="仿宋_GB2312" w:eastAsia="仿宋_GB2312" w:cs="仿宋_GB2312"/>
          <w:b w:val="0"/>
          <w:bCs w:val="0"/>
          <w:color w:val="auto"/>
          <w:spacing w:val="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第五章 监督管理，围绕对招标代理机构及从业人员的监管，从投标人回避要求、招标代理机构及从业人员的违法违规行为认定、处理、投诉、诚信管理、行业监督、行业自律、社会监督、国家工作人员违法违规行为处理等方面</w:t>
      </w:r>
      <w:r>
        <w:rPr>
          <w:rFonts w:hint="eastAsia" w:ascii="仿宋_GB2312" w:hAnsi="仿宋_GB2312" w:eastAsia="仿宋_GB2312" w:cs="仿宋_GB2312"/>
          <w:color w:val="auto"/>
          <w:sz w:val="32"/>
          <w:szCs w:val="32"/>
          <w:highlight w:val="none"/>
          <w:lang w:val="en-US" w:eastAsia="zh-CN"/>
        </w:rPr>
        <w:t>作出规定</w:t>
      </w:r>
      <w:r>
        <w:rPr>
          <w:rFonts w:hint="eastAsia" w:ascii="仿宋_GB2312" w:hAnsi="仿宋_GB2312" w:eastAsia="仿宋_GB2312" w:cs="仿宋_GB2312"/>
          <w:b w:val="0"/>
          <w:bCs w:val="0"/>
          <w:color w:val="auto"/>
          <w:spacing w:val="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_GB2312" w:hAnsi="仿宋_GB2312" w:eastAsia="仿宋_GB2312" w:cs="仿宋_GB2312"/>
          <w:b w:val="0"/>
          <w:bCs w:val="0"/>
          <w:color w:val="auto"/>
          <w:spacing w:val="1"/>
          <w:sz w:val="32"/>
          <w:szCs w:val="32"/>
          <w:highlight w:val="none"/>
          <w:lang w:val="en-US" w:eastAsia="zh-CN"/>
        </w:rPr>
      </w:pPr>
      <w:r>
        <w:rPr>
          <w:rFonts w:hint="eastAsia" w:ascii="仿宋_GB2312" w:hAnsi="仿宋_GB2312" w:eastAsia="仿宋_GB2312" w:cs="仿宋_GB2312"/>
          <w:b w:val="0"/>
          <w:bCs w:val="0"/>
          <w:color w:val="auto"/>
          <w:spacing w:val="1"/>
          <w:sz w:val="32"/>
          <w:szCs w:val="32"/>
          <w:highlight w:val="none"/>
          <w:lang w:val="en-US" w:eastAsia="zh-CN"/>
        </w:rPr>
        <w:t>第六章 附则，明确了《管理办法》的制度配套要求、解释主体和施行时间。</w:t>
      </w:r>
    </w:p>
    <w:sectPr>
      <w:footerReference r:id="rId3" w:type="default"/>
      <w:pgSz w:w="11906" w:h="16838"/>
      <w:pgMar w:top="2154" w:right="1531" w:bottom="1871" w:left="1531"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Tk5YWNlMjNkZTdlODgxNjhlMTA4Yjc5NDA2NWQifQ=="/>
  </w:docVars>
  <w:rsids>
    <w:rsidRoot w:val="77B530FF"/>
    <w:rsid w:val="073C3DC6"/>
    <w:rsid w:val="0BB964EC"/>
    <w:rsid w:val="0DF7D003"/>
    <w:rsid w:val="10D81D28"/>
    <w:rsid w:val="1B990270"/>
    <w:rsid w:val="21953366"/>
    <w:rsid w:val="22F159DE"/>
    <w:rsid w:val="27D9A20F"/>
    <w:rsid w:val="28853DC7"/>
    <w:rsid w:val="2DAE5210"/>
    <w:rsid w:val="43DB7FB7"/>
    <w:rsid w:val="441A7ED7"/>
    <w:rsid w:val="49E24719"/>
    <w:rsid w:val="4CFA4C80"/>
    <w:rsid w:val="4E927AC1"/>
    <w:rsid w:val="57886989"/>
    <w:rsid w:val="5B143E41"/>
    <w:rsid w:val="5D753480"/>
    <w:rsid w:val="5DA54794"/>
    <w:rsid w:val="5E3453C1"/>
    <w:rsid w:val="5EBE6A13"/>
    <w:rsid w:val="61D92C5E"/>
    <w:rsid w:val="69BFE821"/>
    <w:rsid w:val="6B651A72"/>
    <w:rsid w:val="6B865AF4"/>
    <w:rsid w:val="6F8A58AC"/>
    <w:rsid w:val="75047B9A"/>
    <w:rsid w:val="77B530FF"/>
    <w:rsid w:val="78F785DB"/>
    <w:rsid w:val="7AF35462"/>
    <w:rsid w:val="7E7E77DA"/>
    <w:rsid w:val="9DEA10FF"/>
    <w:rsid w:val="B96F4F4F"/>
    <w:rsid w:val="BEFF9A61"/>
    <w:rsid w:val="DFFF46E4"/>
    <w:rsid w:val="E1BE0F11"/>
    <w:rsid w:val="EEF0A586"/>
    <w:rsid w:val="F9717BDA"/>
    <w:rsid w:val="FCDA51EE"/>
    <w:rsid w:val="FCF20068"/>
    <w:rsid w:val="FD9FB909"/>
    <w:rsid w:val="FFE70ACF"/>
    <w:rsid w:val="FFF2B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rPr>
  </w:style>
  <w:style w:type="paragraph" w:customStyle="1" w:styleId="3">
    <w:name w:val="style4"/>
    <w:basedOn w:val="1"/>
    <w:next w:val="4"/>
    <w:qFormat/>
    <w:uiPriority w:val="0"/>
    <w:pPr>
      <w:widowControl/>
      <w:spacing w:before="280" w:after="280"/>
    </w:pPr>
    <w:rPr>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5">
    <w:name w:val="Body Text Indent"/>
    <w:basedOn w:val="1"/>
    <w:qFormat/>
    <w:uiPriority w:val="0"/>
    <w:pPr>
      <w:ind w:left="720"/>
    </w:pPr>
    <w:rPr>
      <w:sz w:val="32"/>
    </w:rPr>
  </w:style>
  <w:style w:type="paragraph" w:styleId="6">
    <w:name w:val="Body Text Indent 2"/>
    <w:basedOn w:val="1"/>
    <w:qFormat/>
    <w:uiPriority w:val="0"/>
    <w:pPr>
      <w:spacing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FollowedHyperlink"/>
    <w:basedOn w:val="12"/>
    <w:qFormat/>
    <w:uiPriority w:val="0"/>
    <w:rPr>
      <w:color w:val="333333"/>
      <w:u w:val="none"/>
    </w:rPr>
  </w:style>
  <w:style w:type="character" w:styleId="14">
    <w:name w:val="Emphasis"/>
    <w:basedOn w:val="12"/>
    <w:qFormat/>
    <w:uiPriority w:val="0"/>
  </w:style>
  <w:style w:type="character" w:styleId="15">
    <w:name w:val="HTML Definition"/>
    <w:basedOn w:val="12"/>
    <w:qFormat/>
    <w:uiPriority w:val="0"/>
  </w:style>
  <w:style w:type="character" w:styleId="16">
    <w:name w:val="HTML Acronym"/>
    <w:basedOn w:val="12"/>
    <w:qFormat/>
    <w:uiPriority w:val="0"/>
  </w:style>
  <w:style w:type="character" w:styleId="17">
    <w:name w:val="HTML Variable"/>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character" w:styleId="21">
    <w:name w:val="footnote reference"/>
    <w:basedOn w:val="12"/>
    <w:qFormat/>
    <w:uiPriority w:val="0"/>
    <w:rPr>
      <w:vertAlign w:val="superscript"/>
    </w:rPr>
  </w:style>
  <w:style w:type="character" w:customStyle="1" w:styleId="22">
    <w:name w:val="exap"/>
    <w:basedOn w:val="12"/>
    <w:qFormat/>
    <w:uiPriority w:val="0"/>
    <w:rPr>
      <w:sz w:val="27"/>
      <w:szCs w:val="27"/>
    </w:rPr>
  </w:style>
  <w:style w:type="character" w:customStyle="1" w:styleId="23">
    <w:name w:val="a_p_3"/>
    <w:basedOn w:val="12"/>
    <w:qFormat/>
    <w:uiPriority w:val="0"/>
    <w:rPr>
      <w:sz w:val="27"/>
      <w:szCs w:val="27"/>
    </w:rPr>
  </w:style>
  <w:style w:type="character" w:customStyle="1" w:styleId="24">
    <w:name w:val="a_p_1"/>
    <w:basedOn w:val="12"/>
    <w:qFormat/>
    <w:uiPriority w:val="0"/>
    <w:rPr>
      <w:sz w:val="27"/>
      <w:szCs w:val="27"/>
    </w:rPr>
  </w:style>
  <w:style w:type="character" w:customStyle="1" w:styleId="25">
    <w:name w:val="a_p_2"/>
    <w:basedOn w:val="12"/>
    <w:qFormat/>
    <w:uiPriority w:val="0"/>
    <w:rPr>
      <w:sz w:val="27"/>
      <w:szCs w:val="27"/>
    </w:rPr>
  </w:style>
  <w:style w:type="character" w:customStyle="1" w:styleId="26">
    <w:name w:val="a_p_21"/>
    <w:basedOn w:val="12"/>
    <w:qFormat/>
    <w:uiPriority w:val="0"/>
  </w:style>
  <w:style w:type="character" w:customStyle="1" w:styleId="27">
    <w:name w:val="ul_li_a_1"/>
    <w:basedOn w:val="12"/>
    <w:qFormat/>
    <w:uiPriority w:val="0"/>
    <w:rPr>
      <w:b/>
      <w:color w:val="FFFFFF"/>
    </w:rPr>
  </w:style>
  <w:style w:type="character" w:customStyle="1" w:styleId="28">
    <w:name w:val="active2"/>
    <w:basedOn w:val="12"/>
    <w:qFormat/>
    <w:uiPriority w:val="0"/>
    <w:rPr>
      <w:shd w:val="clear" w:fill="F6F6F6"/>
    </w:rPr>
  </w:style>
  <w:style w:type="character" w:customStyle="1" w:styleId="29">
    <w:name w:val="hfnr-content"/>
    <w:basedOn w:val="12"/>
    <w:qFormat/>
    <w:uiPriority w:val="0"/>
  </w:style>
  <w:style w:type="character" w:customStyle="1" w:styleId="30">
    <w:name w:val="lxtj"/>
    <w:basedOn w:val="12"/>
    <w:qFormat/>
    <w:uiPriority w:val="0"/>
    <w:rPr>
      <w:color w:val="5F5F5F"/>
    </w:rPr>
  </w:style>
  <w:style w:type="character" w:customStyle="1" w:styleId="31">
    <w:name w:val="number"/>
    <w:basedOn w:val="12"/>
    <w:qFormat/>
    <w:uiPriority w:val="0"/>
    <w:rPr>
      <w:color w:val="EB2E2E"/>
    </w:rPr>
  </w:style>
  <w:style w:type="character" w:customStyle="1" w:styleId="32">
    <w:name w:val="hover7"/>
    <w:basedOn w:val="12"/>
    <w:qFormat/>
    <w:uiPriority w:val="0"/>
    <w:rPr>
      <w:color w:val="315EF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2024-01-27T23:57:00Z</dcterms:created>
  <dc:creator>Administrator</dc:creator>
  <cp:lastModifiedBy>曾翠</cp:lastModifiedBy>
  <dcterms:modified xsi:type="dcterms:W3CDTF">2024-07-11T18:15:40Z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B108ADA787674029B5331E54809D2E6D_13</vt:lpwstr>
  </property>
</Properties>
</file>