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33333"/>
          <w:spacing w:val="0"/>
          <w:kern w:val="0"/>
          <w:sz w:val="28"/>
          <w:szCs w:val="28"/>
          <w:shd w:val="clear" w:fill="FFFFFF"/>
          <w:lang w:val="en-US" w:eastAsia="zh-CN" w:bidi="ar"/>
        </w:rPr>
      </w:pPr>
      <w:r>
        <w:rPr>
          <w:rFonts w:hint="eastAsia" w:ascii="微软雅黑" w:hAnsi="微软雅黑" w:eastAsia="微软雅黑" w:cs="微软雅黑"/>
          <w:b/>
          <w:bCs/>
          <w:i w:val="0"/>
          <w:iCs w:val="0"/>
          <w:caps w:val="0"/>
          <w:color w:val="3289D8"/>
          <w:spacing w:val="0"/>
          <w:sz w:val="26"/>
          <w:szCs w:val="26"/>
          <w:shd w:val="clear" w:fill="FFFFFF"/>
        </w:rPr>
        <w:t>【事项名称】</w:t>
      </w:r>
      <w:r>
        <w:rPr>
          <w:rFonts w:hint="eastAsia" w:ascii="微软雅黑" w:hAnsi="微软雅黑" w:eastAsia="微软雅黑" w:cs="微软雅黑"/>
          <w:b/>
          <w:bCs/>
          <w:i w:val="0"/>
          <w:iCs w:val="0"/>
          <w:caps w:val="0"/>
          <w:color w:val="auto"/>
          <w:spacing w:val="0"/>
          <w:sz w:val="28"/>
          <w:szCs w:val="28"/>
          <w:shd w:val="clear" w:fill="FFFFFF"/>
          <w:lang w:eastAsia="zh-CN"/>
        </w:rPr>
        <w:t>税务</w:t>
      </w:r>
      <w:r>
        <w:rPr>
          <w:rFonts w:hint="eastAsia" w:ascii="微软雅黑" w:hAnsi="微软雅黑" w:eastAsia="微软雅黑" w:cs="微软雅黑"/>
          <w:b/>
          <w:bCs/>
          <w:i w:val="0"/>
          <w:iCs w:val="0"/>
          <w:caps w:val="0"/>
          <w:color w:val="333333"/>
          <w:spacing w:val="0"/>
          <w:kern w:val="0"/>
          <w:sz w:val="28"/>
          <w:szCs w:val="28"/>
          <w:shd w:val="clear" w:fill="FFFFFF"/>
          <w:lang w:val="en-US" w:eastAsia="zh-CN" w:bidi="ar"/>
        </w:rPr>
        <w:t>省内跨市迁移</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highlight w:val="none"/>
          <w:shd w:val="clear" w:fill="FFFFFF"/>
        </w:rPr>
      </w:pPr>
      <w:r>
        <w:rPr>
          <w:rFonts w:hint="eastAsia" w:ascii="微软雅黑" w:hAnsi="微软雅黑" w:eastAsia="微软雅黑" w:cs="微软雅黑"/>
          <w:b/>
          <w:bCs/>
          <w:i w:val="0"/>
          <w:iCs w:val="0"/>
          <w:caps w:val="0"/>
          <w:color w:val="3289D8"/>
          <w:spacing w:val="0"/>
          <w:sz w:val="26"/>
          <w:szCs w:val="26"/>
          <w:highlight w:val="none"/>
          <w:shd w:val="clear" w:fill="FFFFFF"/>
        </w:rPr>
        <w:t>【申请条件】</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末处于稅务检查状态</w:t>
      </w:r>
      <w:r>
        <w:rPr>
          <w:rFonts w:hint="eastAsia" w:cs="宋体"/>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无欠税（滞纳金</w:t>
      </w:r>
      <w:r>
        <w:rPr>
          <w:rFonts w:hint="eastAsia" w:cs="宋体"/>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及罚款</w:t>
      </w:r>
      <w:r>
        <w:rPr>
          <w:rFonts w:hint="eastAsia" w:cs="宋体"/>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无多缴应退未退稅款，</w:t>
      </w:r>
      <w:r>
        <w:rPr>
          <w:rFonts w:hint="eastAsia" w:cs="宋体"/>
          <w:b w:val="0"/>
          <w:bCs w:val="0"/>
          <w:kern w:val="0"/>
          <w:sz w:val="24"/>
          <w:szCs w:val="24"/>
          <w:lang w:val="en-US" w:eastAsia="zh-CN" w:bidi="ar"/>
        </w:rPr>
        <w:t>已</w:t>
      </w:r>
      <w:r>
        <w:rPr>
          <w:rFonts w:hint="eastAsia" w:ascii="宋体" w:hAnsi="宋体" w:eastAsia="宋体" w:cs="宋体"/>
          <w:b w:val="0"/>
          <w:bCs w:val="0"/>
          <w:kern w:val="0"/>
          <w:sz w:val="24"/>
          <w:szCs w:val="24"/>
          <w:lang w:val="en-US" w:eastAsia="zh-CN" w:bidi="ar"/>
        </w:rPr>
        <w:t>结清出口退（免)税款</w:t>
      </w:r>
      <w:r>
        <w:rPr>
          <w:rFonts w:hint="eastAsia" w:cs="宋体"/>
          <w:b w:val="0"/>
          <w:bCs w:val="0"/>
          <w:kern w:val="0"/>
          <w:sz w:val="24"/>
          <w:szCs w:val="24"/>
          <w:lang w:val="en-US" w:eastAsia="zh-CN" w:bidi="ar"/>
        </w:rPr>
        <w:t>、已</w:t>
      </w:r>
      <w:r>
        <w:rPr>
          <w:rFonts w:hint="eastAsia" w:ascii="宋体" w:hAnsi="宋体" w:eastAsia="宋体" w:cs="宋体"/>
          <w:b w:val="0"/>
          <w:bCs w:val="0"/>
          <w:kern w:val="0"/>
          <w:sz w:val="24"/>
          <w:szCs w:val="24"/>
          <w:lang w:val="en-US" w:eastAsia="zh-CN" w:bidi="ar"/>
        </w:rPr>
        <w:t>缴销发票及稅控专用设备、未有办结社保事项</w:t>
      </w:r>
      <w:r>
        <w:rPr>
          <w:rFonts w:hint="eastAsia" w:cs="宋体"/>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欠缴社保费外，其他情況（含欠税</w:t>
      </w:r>
      <w:r>
        <w:rPr>
          <w:rFonts w:hint="eastAsia" w:cs="宋体"/>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的纳税人</w:t>
      </w:r>
      <w:r>
        <w:rPr>
          <w:rFonts w:hint="eastAsia" w:cs="宋体"/>
          <w:b w:val="0"/>
          <w:bCs w:val="0"/>
          <w:kern w:val="0"/>
          <w:sz w:val="24"/>
          <w:szCs w:val="24"/>
          <w:lang w:val="en-US" w:eastAsia="zh-CN" w:bidi="ar"/>
        </w:rPr>
        <w:t>以及</w:t>
      </w:r>
      <w:r>
        <w:rPr>
          <w:rFonts w:hint="eastAsia" w:ascii="宋体" w:hAnsi="宋体" w:eastAsia="宋体" w:cs="宋体"/>
          <w:b w:val="0"/>
          <w:bCs w:val="0"/>
          <w:kern w:val="0"/>
          <w:sz w:val="24"/>
          <w:szCs w:val="24"/>
          <w:lang w:val="en-US" w:eastAsia="zh-CN" w:bidi="ar"/>
        </w:rPr>
        <w:t>没有其他未办结事项目属于正常户的纳税人</w:t>
      </w:r>
      <w:r>
        <w:rPr>
          <w:rFonts w:hint="eastAsia" w:cs="宋体"/>
          <w:b w:val="0"/>
          <w:bCs w:val="0"/>
          <w:kern w:val="0"/>
          <w:sz w:val="24"/>
          <w:szCs w:val="24"/>
          <w:lang w:val="en-US" w:eastAsia="zh-CN" w:bidi="ar"/>
        </w:rPr>
        <w:t>，在市场监管部门办结住所变更登记后，向迁出地主管税务机关申请省内跨市迁移。</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【设立依据】</w:t>
      </w:r>
    </w:p>
    <w:tbl>
      <w:tblPr>
        <w:tblStyle w:val="4"/>
        <w:tblW w:w="15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tcMar>
              <w:top w:w="75" w:type="dxa"/>
              <w:left w:w="75" w:type="dxa"/>
              <w:bottom w:w="75" w:type="dxa"/>
              <w:right w:w="75" w:type="dxa"/>
            </w:tcMar>
            <w:vAlign w:val="center"/>
          </w:tcPr>
          <w:tbl>
            <w:tblPr>
              <w:tblStyle w:val="4"/>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8"/>
              <w:gridCol w:w="2049"/>
              <w:gridCol w:w="6937"/>
              <w:gridCol w:w="2049"/>
              <w:gridCol w:w="3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restar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1</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文件名称</w:t>
                  </w:r>
                </w:p>
              </w:tc>
              <w:tc>
                <w:tcPr>
                  <w:tcW w:w="2200" w:type="pct"/>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《中华人民共和国税收征收管理法》</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文件字号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2015年4月24日中华人民共和国主席令第23号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制定机关全称</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全国人民代表大会常务委员会</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第十六条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条款内容</w:t>
                  </w:r>
                </w:p>
              </w:tc>
              <w:tc>
                <w:tcPr>
                  <w:tcW w:w="0" w:type="auto"/>
                  <w:gridSpan w:val="3"/>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0" w:afterAutospacing="0"/>
                    <w:ind w:left="0" w:right="0"/>
                    <w:jc w:val="center"/>
                  </w:pPr>
                </w:p>
              </w:tc>
            </w:tr>
          </w:tbl>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tcMar>
              <w:top w:w="75" w:type="dxa"/>
              <w:left w:w="75" w:type="dxa"/>
              <w:bottom w:w="75" w:type="dxa"/>
              <w:right w:w="75" w:type="dxa"/>
            </w:tcMar>
            <w:vAlign w:val="center"/>
          </w:tcPr>
          <w:tbl>
            <w:tblPr>
              <w:tblStyle w:val="4"/>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8"/>
              <w:gridCol w:w="2049"/>
              <w:gridCol w:w="6937"/>
              <w:gridCol w:w="2049"/>
              <w:gridCol w:w="3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restar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2</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文件名称</w:t>
                  </w:r>
                </w:p>
              </w:tc>
              <w:tc>
                <w:tcPr>
                  <w:tcW w:w="2200" w:type="pct"/>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《中华人民共和国税收征收管理法实施细则》</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文件字号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2016年2月6日中华人民共和国国务院令第666号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制定机关全称</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国务院</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第十五条第二款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条款内容</w:t>
                  </w:r>
                </w:p>
              </w:tc>
              <w:tc>
                <w:tcPr>
                  <w:tcW w:w="0" w:type="auto"/>
                  <w:gridSpan w:val="3"/>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第十五条 纳税人因住所、经营地点变动，涉及改变税务登记机关的，应当在向工商行政管理机关或者其他机关申请办理变更或者注销登记前或者住所、经营地点变动前，向原税务登记机关申报办理注销税务登记，并在30日内向迁达地税务机关申报办理税务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0" w:afterAutospacing="0"/>
                    <w:ind w:left="0" w:right="0"/>
                    <w:jc w:val="center"/>
                  </w:pPr>
                </w:p>
              </w:tc>
            </w:tr>
          </w:tbl>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tcMar>
              <w:top w:w="75" w:type="dxa"/>
              <w:left w:w="75" w:type="dxa"/>
              <w:bottom w:w="75" w:type="dxa"/>
              <w:right w:w="75" w:type="dxa"/>
            </w:tcMar>
            <w:vAlign w:val="center"/>
          </w:tcPr>
          <w:tbl>
            <w:tblPr>
              <w:tblStyle w:val="4"/>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8"/>
              <w:gridCol w:w="2049"/>
              <w:gridCol w:w="6937"/>
              <w:gridCol w:w="2049"/>
              <w:gridCol w:w="3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restar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3</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文件名称</w:t>
                  </w:r>
                </w:p>
              </w:tc>
              <w:tc>
                <w:tcPr>
                  <w:tcW w:w="2200" w:type="pct"/>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《国家税务总局广东省税务局关于进一步简化纳税人省内跨市迁移办理程序有关事项的通知》</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文件字号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粤税发〔2018〕146号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制定机关全称</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国家税务总局广东省税务局</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条款内容</w:t>
                  </w:r>
                </w:p>
              </w:tc>
              <w:tc>
                <w:tcPr>
                  <w:tcW w:w="0" w:type="auto"/>
                  <w:gridSpan w:val="3"/>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0" w:afterAutospacing="0"/>
                    <w:ind w:left="0" w:right="0"/>
                    <w:jc w:val="center"/>
                    <w:rPr>
                      <w:rFonts w:hint="eastAsia" w:eastAsiaTheme="minorEastAsia"/>
                      <w:lang w:eastAsia="zh-CN"/>
                    </w:rPr>
                  </w:pPr>
                  <w:bookmarkStart w:id="0" w:name="_GoBack"/>
                  <w:r>
                    <w:rPr>
                      <w:rFonts w:hint="eastAsia" w:ascii="宋体" w:hAnsi="宋体" w:eastAsia="宋体" w:cs="宋体"/>
                      <w:kern w:val="0"/>
                      <w:sz w:val="24"/>
                      <w:szCs w:val="24"/>
                      <w:lang w:val="en-US" w:eastAsia="zh-CN" w:bidi="ar"/>
                    </w:rPr>
                    <w:t>（相关要求）</w:t>
                  </w:r>
                  <w:bookmarkEnd w:id="0"/>
                </w:p>
              </w:tc>
            </w:tr>
          </w:tbl>
          <w:p>
            <w:pPr>
              <w:jc w:val="center"/>
            </w:pPr>
          </w:p>
        </w:tc>
      </w:tr>
    </w:tbl>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【办理资料】</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color w:val="000000"/>
              </w:rPr>
            </w:pPr>
            <w:r>
              <w:rPr>
                <w:color w:val="000000"/>
              </w:rPr>
              <w:t>1.在实体办税服务厅办理的，均提供纸质版材料；已实名认证的办税人员可免于提供其身份证件复印件。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color w:val="000000"/>
              </w:rPr>
            </w:pPr>
            <w:r>
              <w:rPr>
                <w:color w:val="000000"/>
              </w:rPr>
              <w:t>2.对实行实名制管理的纳税人，在广东省电子税务局（包括网页版、微信、APP）、自助办税终端等电子办税渠道办理涉税费事项的，免于报送纸质资料，另有规定的除外。免于报送的纸质资料由纳税人留存备查，纳税人对于电子资料的真实性以及与留存备查纸质资料的一致性负责。</w:t>
            </w:r>
          </w:p>
        </w:tc>
      </w:tr>
    </w:tbl>
    <w:p>
      <w:pPr>
        <w:rPr>
          <w:vanish/>
          <w:sz w:val="24"/>
          <w:szCs w:val="24"/>
        </w:rPr>
      </w:pPr>
    </w:p>
    <w:tbl>
      <w:tblPr>
        <w:tblStyle w:val="4"/>
        <w:tblW w:w="159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3"/>
        <w:gridCol w:w="4779"/>
        <w:gridCol w:w="6372"/>
        <w:gridCol w:w="1593"/>
        <w:gridCol w:w="15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00" w:type="pct"/>
            <w:tcBorders>
              <w:top w:val="outset" w:color="auto" w:sz="6" w:space="0"/>
              <w:left w:val="outset" w:color="auto" w:sz="6" w:space="0"/>
              <w:bottom w:val="outset" w:color="auto" w:sz="6" w:space="0"/>
              <w:right w:val="outset" w:color="auto" w:sz="6" w:space="0"/>
            </w:tcBorders>
            <w:shd w:val="clear" w:color="auto" w:fill="E6E6E6"/>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序号</w:t>
            </w:r>
          </w:p>
        </w:tc>
        <w:tc>
          <w:tcPr>
            <w:tcW w:w="1500" w:type="pct"/>
            <w:tcBorders>
              <w:top w:val="outset" w:color="auto" w:sz="6" w:space="0"/>
              <w:left w:val="outset" w:color="auto" w:sz="6" w:space="0"/>
              <w:bottom w:val="outset" w:color="auto" w:sz="6" w:space="0"/>
              <w:right w:val="outset" w:color="auto" w:sz="6" w:space="0"/>
            </w:tcBorders>
            <w:shd w:val="clear" w:color="auto" w:fill="E6E6E6"/>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资料名称</w:t>
            </w:r>
          </w:p>
        </w:tc>
        <w:tc>
          <w:tcPr>
            <w:tcW w:w="2000" w:type="pct"/>
            <w:tcBorders>
              <w:top w:val="outset" w:color="auto" w:sz="6" w:space="0"/>
              <w:left w:val="outset" w:color="auto" w:sz="6" w:space="0"/>
              <w:bottom w:val="outset" w:color="auto" w:sz="6" w:space="0"/>
              <w:right w:val="outset" w:color="auto" w:sz="6" w:space="0"/>
            </w:tcBorders>
            <w:shd w:val="clear" w:color="auto" w:fill="E6E6E6"/>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报送条件</w:t>
            </w:r>
          </w:p>
        </w:tc>
        <w:tc>
          <w:tcPr>
            <w:tcW w:w="500" w:type="pct"/>
            <w:tcBorders>
              <w:top w:val="outset" w:color="auto" w:sz="6" w:space="0"/>
              <w:left w:val="outset" w:color="auto" w:sz="6" w:space="0"/>
              <w:bottom w:val="outset" w:color="auto" w:sz="6" w:space="0"/>
              <w:right w:val="outset" w:color="auto" w:sz="6" w:space="0"/>
            </w:tcBorders>
            <w:shd w:val="clear" w:color="auto" w:fill="E6E6E6"/>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资料形式</w:t>
            </w:r>
          </w:p>
        </w:tc>
        <w:tc>
          <w:tcPr>
            <w:tcW w:w="500" w:type="pct"/>
            <w:tcBorders>
              <w:top w:val="outset" w:color="auto" w:sz="6" w:space="0"/>
              <w:left w:val="outset" w:color="auto" w:sz="6" w:space="0"/>
              <w:bottom w:val="outset" w:color="auto" w:sz="6" w:space="0"/>
              <w:right w:val="outset" w:color="auto" w:sz="6" w:space="0"/>
            </w:tcBorders>
            <w:shd w:val="clear" w:color="auto" w:fill="E6E6E6"/>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份数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纳税人变更登记内容的有关证明文件</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必报</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tcBorders>
                    <w:top w:val="single" w:color="E4E4E4"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E4E4E4"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复印件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E4E4E4"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E4E4E4"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A01011《变更税务登记表》</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必报</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增值税税控系统专用设备</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使用增值税防伪税控设备的纳税人</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其他按规定应收缴的设备</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使用其他按规定应收缴的设备的纳税人</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A01008《税务登记证》（副本）</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非“多证合一”“一照一码”纳税人；已实行实名办税的纳税人，免予提供</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6</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A01007《税务登记证》(正本)</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非“多证合一”“一照一码”纳税人；已实行实名办税的纳税人，免予提供</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7</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A02009《发票领用簿》</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已发放过发票领用簿的纳税人</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8</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经办人（代理人）身份证件</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非实名办税的纳税人</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bl>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shd w:val="clear" w:fill="FFFFFF"/>
        </w:rPr>
      </w:pP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【办理地点】</w:t>
      </w:r>
    </w:p>
    <w:p>
      <w:pPr>
        <w:keepNext w:val="0"/>
        <w:keepLines w:val="0"/>
        <w:widowControl/>
        <w:suppressLineNumbers w:val="0"/>
        <w:jc w:val="left"/>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可通过办税服务厅（场所）办理。办税服务厅地址可查看</w:t>
      </w:r>
      <w:r>
        <w:rPr>
          <w:rFonts w:hint="eastAsia" w:ascii="微软雅黑" w:hAnsi="微软雅黑" w:eastAsia="微软雅黑" w:cs="微软雅黑"/>
          <w:i w:val="0"/>
          <w:iCs w:val="0"/>
          <w:caps w:val="0"/>
          <w:color w:val="1A56A8"/>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1A56A8"/>
          <w:spacing w:val="0"/>
          <w:kern w:val="0"/>
          <w:sz w:val="24"/>
          <w:szCs w:val="24"/>
          <w:u w:val="none"/>
          <w:shd w:val="clear" w:fill="FFFFFF"/>
          <w:lang w:val="en-US" w:eastAsia="zh-CN" w:bidi="ar"/>
        </w:rPr>
        <w:instrText xml:space="preserve"> HYPERLINK "http://guangdong.chinatax.gov.cn/siteapps/webpage/gdtax/bdmap/tree_map.jsp" \t "http://guangdong.chinatax.gov.cn/siteapps/webpage/gdtax/bszn_xwqy/_blank" </w:instrText>
      </w:r>
      <w:r>
        <w:rPr>
          <w:rFonts w:hint="eastAsia" w:ascii="微软雅黑" w:hAnsi="微软雅黑" w:eastAsia="微软雅黑" w:cs="微软雅黑"/>
          <w:i w:val="0"/>
          <w:iCs w:val="0"/>
          <w:caps w:val="0"/>
          <w:color w:val="1A56A8"/>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1A56A8"/>
          <w:spacing w:val="0"/>
          <w:sz w:val="24"/>
          <w:szCs w:val="24"/>
          <w:u w:val="none"/>
          <w:shd w:val="clear" w:fill="FFFFFF"/>
        </w:rPr>
        <w:t>广东办税地图</w:t>
      </w:r>
      <w:r>
        <w:rPr>
          <w:rFonts w:hint="eastAsia" w:ascii="微软雅黑" w:hAnsi="微软雅黑" w:eastAsia="微软雅黑" w:cs="微软雅黑"/>
          <w:i w:val="0"/>
          <w:iCs w:val="0"/>
          <w:caps w:val="0"/>
          <w:color w:val="1A56A8"/>
          <w:spacing w:val="0"/>
          <w:kern w:val="0"/>
          <w:sz w:val="24"/>
          <w:szCs w:val="24"/>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val="0"/>
          <w:bCs w:val="0"/>
          <w:i w:val="0"/>
          <w:iCs w:val="0"/>
          <w:caps w:val="0"/>
          <w:color w:val="auto"/>
          <w:spacing w:val="0"/>
          <w:sz w:val="24"/>
          <w:szCs w:val="24"/>
          <w:shd w:val="clear" w:fill="FFFFFF"/>
          <w:lang w:eastAsia="zh-CN"/>
        </w:rPr>
      </w:pPr>
      <w:r>
        <w:rPr>
          <w:rFonts w:hint="eastAsia" w:ascii="微软雅黑" w:hAnsi="微软雅黑" w:eastAsia="微软雅黑" w:cs="微软雅黑"/>
          <w:b w:val="0"/>
          <w:bCs w:val="0"/>
          <w:i w:val="0"/>
          <w:iCs w:val="0"/>
          <w:caps w:val="0"/>
          <w:color w:val="auto"/>
          <w:spacing w:val="0"/>
          <w:sz w:val="24"/>
          <w:szCs w:val="24"/>
          <w:shd w:val="clear" w:fill="FFFFFF"/>
          <w:lang w:eastAsia="zh-CN"/>
        </w:rPr>
        <w:t>网址：http://guangdong.chinatax.gov.cn/siteapps/webpage/gdtax/bdmap/tree_map.jsp</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【办理时间】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即时办结</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12366</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不收费</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【办理机构】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主管税务机关</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drawing>
          <wp:inline distT="0" distB="0" distL="114300" distR="114300">
            <wp:extent cx="7067550" cy="15906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067550" cy="1590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【纳税人注意事项】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1.纳税人对报送材料的真实性和合法性承担责任。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2.文书表单可在省税务机关门户网站查询下载或到办税服务厅领取。</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73824"/>
    <w:rsid w:val="061F2DB1"/>
    <w:rsid w:val="121D481B"/>
    <w:rsid w:val="2EED3C5B"/>
    <w:rsid w:val="3E1266ED"/>
    <w:rsid w:val="44FC5CC1"/>
    <w:rsid w:val="647807D5"/>
    <w:rsid w:val="6A173824"/>
    <w:rsid w:val="6B033510"/>
    <w:rsid w:val="7EEA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2024-06-25T08:42:00Z</dcterms:created>
  <dc:creator>冯广健</dc:creator>
  <cp:lastModifiedBy>徐镜勇</cp:lastModifiedBy>
  <dcterms:modified xsi:type="dcterms:W3CDTF">2024-07-04T11:00:11Z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91B1C84E3CB242B6893C89B630D7D031</vt:lpwstr>
  </property>
</Properties>
</file>