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黑体" w:hAnsi="黑体" w:eastAsia="黑体" w:cs="黑体"/>
          <w:lang w:eastAsia="zh-CN"/>
        </w:rPr>
      </w:pPr>
      <w:r>
        <w:rPr>
          <w:rFonts w:ascii="黑体" w:hAnsi="黑体" w:eastAsia="黑体" w:cs="黑体"/>
          <w:lang w:eastAsia="zh-CN"/>
        </w:rPr>
        <w:t>附件</w:t>
      </w:r>
      <w:r>
        <w:rPr>
          <w:rFonts w:ascii="黑体" w:hAnsi="黑体" w:eastAsia="黑体" w:cs="黑体"/>
          <w:spacing w:val="-87"/>
          <w:lang w:eastAsia="zh-CN"/>
        </w:rPr>
        <w:t xml:space="preserve"> </w:t>
      </w:r>
      <w:r>
        <w:rPr>
          <w:rFonts w:ascii="黑体" w:hAnsi="黑体" w:eastAsia="黑体" w:cs="黑体"/>
          <w:lang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黑体" w:hAnsi="黑体" w:eastAsia="黑体" w:cs="黑体"/>
          <w:sz w:val="28"/>
          <w:szCs w:val="28"/>
          <w:lang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lang w:eastAsia="zh-CN"/>
        </w:rPr>
      </w:pPr>
      <w:r>
        <w:rPr>
          <w:lang w:eastAsia="zh-CN"/>
        </w:rPr>
        <w:t>“信用+供气服务”应用流程</w:t>
      </w:r>
    </w:p>
    <w:p>
      <w:pPr>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ascii="方正小标宋简体" w:hAnsi="方正小标宋简体" w:eastAsia="方正小标宋简体" w:cs="方正小标宋简体"/>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ascii="黑体" w:hAnsi="黑体" w:eastAsia="黑体" w:cs="黑体"/>
          <w:sz w:val="32"/>
          <w:szCs w:val="32"/>
          <w:lang w:eastAsia="zh-CN"/>
        </w:rPr>
      </w:pPr>
      <w:r>
        <w:rPr>
          <w:rFonts w:ascii="黑体" w:hAnsi="黑体" w:eastAsia="黑体" w:cs="黑体"/>
          <w:sz w:val="32"/>
          <w:szCs w:val="32"/>
          <w:lang w:eastAsia="zh-CN"/>
        </w:rPr>
        <w:t>一、应用范围</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全市所有不存在拖欠气费，违约用气、窃气、失约等行为，佛山市公共信用信息管理系统综合</w:t>
      </w:r>
      <w:r>
        <w:rPr>
          <w:rFonts w:hint="eastAsia" w:ascii="仿宋_GB2312" w:hAnsi="仿宋_GB2312" w:eastAsia="仿宋_GB2312" w:cs="仿宋_GB2312"/>
          <w:spacing w:val="0"/>
          <w:sz w:val="32"/>
          <w:szCs w:val="32"/>
          <w:lang w:eastAsia="zh-CN"/>
        </w:rPr>
        <w:t>评</w:t>
      </w:r>
      <w:r>
        <w:rPr>
          <w:rFonts w:hint="eastAsia" w:ascii="仿宋_GB2312" w:hAnsi="仿宋_GB2312" w:eastAsia="仿宋_GB2312" w:cs="仿宋_GB2312"/>
          <w:sz w:val="32"/>
          <w:szCs w:val="32"/>
          <w:lang w:eastAsia="zh-CN"/>
        </w:rPr>
        <w:t>价结果信</w:t>
      </w:r>
      <w:r>
        <w:rPr>
          <w:rFonts w:hint="eastAsia" w:ascii="仿宋_GB2312" w:hAnsi="仿宋_GB2312" w:eastAsia="仿宋_GB2312" w:cs="仿宋_GB2312"/>
          <w:spacing w:val="2"/>
          <w:sz w:val="32"/>
          <w:szCs w:val="32"/>
          <w:lang w:eastAsia="zh-CN"/>
        </w:rPr>
        <w:t>用</w:t>
      </w:r>
      <w:r>
        <w:rPr>
          <w:rFonts w:hint="eastAsia" w:ascii="仿宋_GB2312" w:hAnsi="仿宋_GB2312" w:eastAsia="仿宋_GB2312" w:cs="仿宋_GB2312"/>
          <w:sz w:val="32"/>
          <w:szCs w:val="32"/>
          <w:lang w:eastAsia="zh-CN"/>
        </w:rPr>
        <w:t>等级</w:t>
      </w:r>
      <w:r>
        <w:rPr>
          <w:rFonts w:hint="eastAsia" w:ascii="仿宋_GB2312" w:hAnsi="仿宋_GB2312" w:eastAsia="仿宋_GB2312" w:cs="仿宋_GB2312"/>
          <w:spacing w:val="-47"/>
          <w:sz w:val="32"/>
          <w:szCs w:val="32"/>
          <w:lang w:eastAsia="zh-CN"/>
        </w:rPr>
        <w:t>为</w:t>
      </w:r>
      <w:r>
        <w:rPr>
          <w:rFonts w:hint="eastAsia" w:ascii="仿宋_GB2312" w:hAnsi="仿宋_GB2312" w:eastAsia="仿宋_GB2312" w:cs="仿宋_GB2312"/>
          <w:sz w:val="32"/>
          <w:szCs w:val="32"/>
          <w:lang w:eastAsia="zh-CN"/>
        </w:rPr>
        <w:t>“A</w:t>
      </w:r>
      <w:r>
        <w:rPr>
          <w:rFonts w:hint="eastAsia" w:ascii="仿宋_GB2312" w:hAnsi="仿宋_GB2312" w:eastAsia="仿宋_GB2312" w:cs="仿宋_GB2312"/>
          <w:spacing w:val="-126"/>
          <w:sz w:val="32"/>
          <w:szCs w:val="32"/>
          <w:lang w:eastAsia="zh-CN"/>
        </w:rPr>
        <w:t xml:space="preserve"> </w:t>
      </w:r>
      <w:r>
        <w:rPr>
          <w:rFonts w:hint="eastAsia" w:ascii="仿宋_GB2312" w:hAnsi="仿宋_GB2312" w:eastAsia="仿宋_GB2312" w:cs="仿宋_GB2312"/>
          <w:spacing w:val="2"/>
          <w:sz w:val="32"/>
          <w:szCs w:val="32"/>
          <w:lang w:eastAsia="zh-CN"/>
        </w:rPr>
        <w:t>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w w:val="95"/>
          <w:sz w:val="32"/>
          <w:szCs w:val="32"/>
          <w:lang w:eastAsia="zh-CN"/>
        </w:rPr>
        <w:t>或“B 级”</w:t>
      </w:r>
      <w:r>
        <w:rPr>
          <w:rStyle w:val="11"/>
          <w:rFonts w:hint="eastAsia" w:ascii="仿宋_GB2312" w:hAnsi="仿宋_GB2312" w:eastAsia="仿宋_GB2312" w:cs="仿宋_GB2312"/>
          <w:w w:val="95"/>
          <w:sz w:val="32"/>
          <w:szCs w:val="32"/>
          <w:lang w:eastAsia="zh-CN"/>
        </w:rPr>
        <w:footnoteReference w:id="0"/>
      </w:r>
      <w:r>
        <w:rPr>
          <w:rFonts w:hint="eastAsia" w:ascii="仿宋_GB2312" w:hAnsi="仿宋_GB2312" w:eastAsia="仿宋_GB2312" w:cs="仿宋_GB2312"/>
          <w:w w:val="95"/>
          <w:sz w:val="32"/>
          <w:szCs w:val="32"/>
          <w:lang w:eastAsia="zh-CN"/>
        </w:rPr>
        <w:t>的企业用户，应用范围如下：</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（一）以国有土地上的自有建筑物为用气地址办理用气业务。</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（二）以自有的无建筑物国有土地为用气地址办理用气业</w:t>
      </w:r>
      <w:r>
        <w:rPr>
          <w:rFonts w:hint="eastAsia" w:ascii="仿宋_GB2312" w:hAnsi="仿宋_GB2312" w:eastAsia="仿宋_GB2312" w:cs="仿宋_GB2312"/>
          <w:sz w:val="32"/>
          <w:szCs w:val="32"/>
        </w:rPr>
        <w:t>务。</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ascii="黑体" w:hAnsi="黑体" w:eastAsia="黑体" w:cs="黑体"/>
          <w:sz w:val="32"/>
          <w:szCs w:val="32"/>
        </w:rPr>
      </w:pPr>
      <w:r>
        <w:rPr>
          <w:rFonts w:ascii="黑体" w:hAnsi="黑体" w:eastAsia="黑体" w:cs="黑体"/>
          <w:sz w:val="32"/>
          <w:szCs w:val="32"/>
        </w:rPr>
        <w:t>二、应用场景</w:t>
      </w:r>
    </w:p>
    <w:tbl>
      <w:tblPr>
        <w:tblStyle w:val="9"/>
        <w:tblW w:w="0" w:type="auto"/>
        <w:tblInd w:w="97" w:type="dxa"/>
        <w:tblLayout w:type="fixed"/>
        <w:tblCellMar>
          <w:top w:w="0" w:type="dxa"/>
          <w:left w:w="0" w:type="dxa"/>
          <w:bottom w:w="0" w:type="dxa"/>
          <w:right w:w="0" w:type="dxa"/>
        </w:tblCellMar>
      </w:tblPr>
      <w:tblGrid>
        <w:gridCol w:w="825"/>
        <w:gridCol w:w="1893"/>
        <w:gridCol w:w="3262"/>
        <w:gridCol w:w="1475"/>
        <w:gridCol w:w="1788"/>
      </w:tblGrid>
      <w:tr>
        <w:tblPrEx>
          <w:tblCellMar>
            <w:top w:w="0" w:type="dxa"/>
            <w:left w:w="0" w:type="dxa"/>
            <w:bottom w:w="0" w:type="dxa"/>
            <w:right w:w="0" w:type="dxa"/>
          </w:tblCellMar>
        </w:tblPrEx>
        <w:trPr>
          <w:trHeight w:val="702" w:hRule="exact"/>
        </w:trPr>
        <w:tc>
          <w:tcPr>
            <w:tcW w:w="825" w:type="dxa"/>
            <w:tcBorders>
              <w:top w:val="single" w:color="000000" w:sz="4" w:space="0"/>
              <w:left w:val="single" w:color="000000" w:sz="6" w:space="0"/>
              <w:bottom w:val="single" w:color="000000" w:sz="4" w:space="0"/>
              <w:right w:val="single" w:color="000000" w:sz="6" w:space="0"/>
            </w:tcBorders>
            <w:vAlign w:val="top"/>
          </w:tcPr>
          <w:p>
            <w:pPr>
              <w:pStyle w:val="14"/>
              <w:spacing w:before="10"/>
              <w:jc w:val="center"/>
              <w:rPr>
                <w:rFonts w:hint="eastAsia" w:ascii="仿宋_GB2312" w:hAnsi="仿宋_GB2312" w:eastAsia="仿宋_GB2312" w:cs="仿宋_GB2312"/>
                <w:sz w:val="24"/>
                <w:szCs w:val="24"/>
              </w:rPr>
            </w:pPr>
          </w:p>
          <w:p>
            <w:pPr>
              <w:pStyle w:val="14"/>
              <w:ind w:left="194" w:leftChars="0"/>
              <w:jc w:val="both"/>
              <w:rPr>
                <w:rFonts w:hint="eastAsia" w:ascii="仿宋_GB2312" w:hAnsi="仿宋_GB2312" w:eastAsia="仿宋_GB2312" w:cs="仿宋_GB2312"/>
                <w:sz w:val="24"/>
                <w:szCs w:val="24"/>
              </w:rPr>
            </w:pPr>
            <w:r>
              <w:rPr>
                <w:rFonts w:hint="eastAsia" w:ascii="仿宋_GB2312" w:hAnsi="仿宋_GB2312" w:eastAsia="仿宋_GB2312" w:cs="仿宋_GB2312"/>
                <w:b/>
                <w:bCs/>
                <w:spacing w:val="2"/>
                <w:sz w:val="24"/>
                <w:szCs w:val="24"/>
              </w:rPr>
              <w:t>序</w:t>
            </w:r>
            <w:r>
              <w:rPr>
                <w:rFonts w:hint="eastAsia" w:ascii="仿宋_GB2312" w:hAnsi="仿宋_GB2312" w:eastAsia="仿宋_GB2312" w:cs="仿宋_GB2312"/>
                <w:b/>
                <w:bCs/>
                <w:sz w:val="24"/>
                <w:szCs w:val="24"/>
              </w:rPr>
              <w:t>号</w:t>
            </w:r>
          </w:p>
        </w:tc>
        <w:tc>
          <w:tcPr>
            <w:tcW w:w="1893" w:type="dxa"/>
            <w:tcBorders>
              <w:top w:val="single" w:color="000000" w:sz="4" w:space="0"/>
              <w:left w:val="single" w:color="000000" w:sz="6" w:space="0"/>
              <w:bottom w:val="single" w:color="000000" w:sz="4" w:space="0"/>
              <w:right w:val="single" w:color="000000" w:sz="6" w:space="0"/>
            </w:tcBorders>
            <w:vAlign w:val="top"/>
          </w:tcPr>
          <w:p>
            <w:pPr>
              <w:pStyle w:val="14"/>
              <w:spacing w:before="10"/>
              <w:jc w:val="center"/>
              <w:rPr>
                <w:rFonts w:hint="eastAsia" w:ascii="仿宋_GB2312" w:hAnsi="仿宋_GB2312" w:eastAsia="仿宋_GB2312" w:cs="仿宋_GB2312"/>
                <w:sz w:val="24"/>
                <w:szCs w:val="24"/>
              </w:rPr>
            </w:pPr>
          </w:p>
          <w:p>
            <w:pPr>
              <w:pStyle w:val="14"/>
              <w:ind w:left="519" w:leftChars="0"/>
              <w:jc w:val="both"/>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业务名称</w:t>
            </w:r>
          </w:p>
        </w:tc>
        <w:tc>
          <w:tcPr>
            <w:tcW w:w="3262" w:type="dxa"/>
            <w:tcBorders>
              <w:top w:val="single" w:color="000000" w:sz="4" w:space="0"/>
              <w:left w:val="single" w:color="000000" w:sz="6" w:space="0"/>
              <w:bottom w:val="single" w:color="000000" w:sz="4" w:space="0"/>
              <w:right w:val="single" w:color="000000" w:sz="6" w:space="0"/>
            </w:tcBorders>
            <w:vAlign w:val="top"/>
          </w:tcPr>
          <w:p>
            <w:pPr>
              <w:pStyle w:val="14"/>
              <w:spacing w:before="10"/>
              <w:jc w:val="center"/>
              <w:rPr>
                <w:rFonts w:hint="eastAsia" w:ascii="仿宋_GB2312" w:hAnsi="仿宋_GB2312" w:eastAsia="仿宋_GB2312" w:cs="仿宋_GB2312"/>
                <w:sz w:val="24"/>
                <w:szCs w:val="24"/>
              </w:rPr>
            </w:pPr>
          </w:p>
          <w:p>
            <w:pPr>
              <w:pStyle w:val="14"/>
              <w:ind w:right="1" w:rightChars="0"/>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资料类别</w:t>
            </w:r>
          </w:p>
        </w:tc>
        <w:tc>
          <w:tcPr>
            <w:tcW w:w="1475" w:type="dxa"/>
            <w:tcBorders>
              <w:top w:val="single" w:color="000000" w:sz="4" w:space="0"/>
              <w:left w:val="single" w:color="000000" w:sz="6" w:space="0"/>
              <w:bottom w:val="single" w:color="000000" w:sz="4" w:space="0"/>
              <w:right w:val="single" w:color="000000" w:sz="6" w:space="0"/>
            </w:tcBorders>
            <w:vAlign w:val="top"/>
          </w:tcPr>
          <w:p>
            <w:pPr>
              <w:pStyle w:val="14"/>
              <w:spacing w:before="10"/>
              <w:jc w:val="center"/>
              <w:rPr>
                <w:rFonts w:hint="eastAsia" w:ascii="仿宋_GB2312" w:hAnsi="仿宋_GB2312" w:eastAsia="仿宋_GB2312" w:cs="仿宋_GB2312"/>
                <w:sz w:val="24"/>
                <w:szCs w:val="24"/>
              </w:rPr>
            </w:pPr>
          </w:p>
          <w:p>
            <w:pPr>
              <w:pStyle w:val="14"/>
              <w:ind w:left="308" w:leftChars="0"/>
              <w:jc w:val="both"/>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应用方式</w:t>
            </w:r>
          </w:p>
        </w:tc>
        <w:tc>
          <w:tcPr>
            <w:tcW w:w="1788" w:type="dxa"/>
            <w:tcBorders>
              <w:top w:val="single" w:color="000000" w:sz="4" w:space="0"/>
              <w:left w:val="single" w:color="000000" w:sz="6" w:space="0"/>
              <w:bottom w:val="single" w:color="000000" w:sz="4" w:space="0"/>
              <w:right w:val="single" w:color="000000" w:sz="6" w:space="0"/>
            </w:tcBorders>
            <w:vAlign w:val="top"/>
          </w:tcPr>
          <w:p>
            <w:pPr>
              <w:pStyle w:val="14"/>
              <w:spacing w:before="10"/>
              <w:jc w:val="center"/>
              <w:rPr>
                <w:rFonts w:hint="eastAsia" w:ascii="仿宋_GB2312" w:hAnsi="仿宋_GB2312" w:eastAsia="仿宋_GB2312" w:cs="仿宋_GB2312"/>
                <w:sz w:val="24"/>
                <w:szCs w:val="24"/>
              </w:rPr>
            </w:pPr>
          </w:p>
          <w:p>
            <w:pPr>
              <w:pStyle w:val="14"/>
              <w:ind w:left="151"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是否可以免提交</w:t>
            </w:r>
          </w:p>
        </w:tc>
      </w:tr>
      <w:tr>
        <w:trPr>
          <w:trHeight w:val="579" w:hRule="exact"/>
        </w:trPr>
        <w:tc>
          <w:tcPr>
            <w:tcW w:w="825" w:type="dxa"/>
            <w:tcBorders>
              <w:top w:val="single" w:color="000000" w:sz="4" w:space="0"/>
              <w:left w:val="single" w:color="000000" w:sz="6" w:space="0"/>
              <w:bottom w:val="single" w:color="000000" w:sz="6" w:space="0"/>
              <w:right w:val="single" w:color="000000" w:sz="6" w:space="0"/>
            </w:tcBorders>
          </w:tcPr>
          <w:p>
            <w:pPr>
              <w:pStyle w:val="14"/>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w:t>
            </w:r>
          </w:p>
        </w:tc>
        <w:tc>
          <w:tcPr>
            <w:tcW w:w="1893" w:type="dxa"/>
            <w:tcBorders>
              <w:top w:val="single" w:color="000000" w:sz="4" w:space="0"/>
              <w:left w:val="single" w:color="000000" w:sz="6" w:space="0"/>
              <w:bottom w:val="single" w:color="000000" w:sz="6" w:space="0"/>
              <w:right w:val="single" w:color="000000" w:sz="6" w:space="0"/>
            </w:tcBorders>
          </w:tcPr>
          <w:p>
            <w:pPr>
              <w:pStyle w:val="14"/>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供气报装</w:t>
            </w:r>
          </w:p>
        </w:tc>
        <w:tc>
          <w:tcPr>
            <w:tcW w:w="3262" w:type="dxa"/>
            <w:tcBorders>
              <w:top w:val="single" w:color="000000" w:sz="4" w:space="0"/>
              <w:left w:val="single" w:color="000000" w:sz="6" w:space="0"/>
              <w:bottom w:val="single" w:color="000000" w:sz="6" w:space="0"/>
              <w:right w:val="single" w:color="000000" w:sz="6" w:space="0"/>
            </w:tcBorders>
          </w:tcPr>
          <w:p>
            <w:pPr>
              <w:pStyle w:val="14"/>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1.有效产权证明</w:t>
            </w:r>
          </w:p>
        </w:tc>
        <w:tc>
          <w:tcPr>
            <w:tcW w:w="1475" w:type="dxa"/>
            <w:tcBorders>
              <w:top w:val="single" w:color="000000" w:sz="4" w:space="0"/>
              <w:left w:val="single" w:color="000000" w:sz="6" w:space="0"/>
              <w:bottom w:val="single" w:color="000000" w:sz="6" w:space="0"/>
              <w:right w:val="single" w:color="000000" w:sz="6" w:space="0"/>
            </w:tcBorders>
          </w:tcPr>
          <w:p>
            <w:pPr>
              <w:pStyle w:val="14"/>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信用报告代替</w:t>
            </w:r>
          </w:p>
        </w:tc>
        <w:tc>
          <w:tcPr>
            <w:tcW w:w="1788" w:type="dxa"/>
            <w:tcBorders>
              <w:top w:val="single" w:color="000000" w:sz="4" w:space="0"/>
              <w:left w:val="single" w:color="000000" w:sz="6" w:space="0"/>
              <w:bottom w:val="single" w:color="000000" w:sz="6" w:space="0"/>
              <w:right w:val="single" w:color="000000" w:sz="6" w:space="0"/>
            </w:tcBorders>
          </w:tcPr>
          <w:p>
            <w:pPr>
              <w:pStyle w:val="14"/>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是</w:t>
            </w:r>
          </w:p>
        </w:tc>
      </w:tr>
    </w:tbl>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ascii="黑体" w:hAnsi="黑体" w:eastAsia="黑体" w:cs="黑体"/>
          <w:sz w:val="32"/>
          <w:szCs w:val="32"/>
        </w:rPr>
      </w:pPr>
      <w:r>
        <w:rPr>
          <w:rFonts w:ascii="黑体" w:hAnsi="黑体" w:eastAsia="黑体" w:cs="黑体"/>
          <w:sz w:val="32"/>
          <w:szCs w:val="32"/>
        </w:rPr>
        <w:t>三、应用流程</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（一）业务申请</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用户可通过供气企业微信公众号或者微信小程序等线上服务渠道申请用气业务办理。</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（二）现场勘查</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用户完成线上申请后，由供气企业工作人员上门服务，对于用气地址以及业务类别适用“信用+供气服务”应用场景的，咨询用户是否有信用办气需求。</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（三）完成受理</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8" w:firstLineChars="200"/>
        <w:jc w:val="both"/>
        <w:textAlignment w:val="auto"/>
        <w:rPr>
          <w:rFonts w:hint="eastAsia" w:ascii="仿宋_GB2312" w:hAnsi="仿宋_GB2312" w:eastAsia="仿宋_GB2312" w:cs="仿宋_GB2312"/>
          <w:sz w:val="32"/>
          <w:szCs w:val="32"/>
          <w:lang w:eastAsia="zh-CN"/>
        </w:rPr>
        <w:sectPr>
          <w:headerReference r:id="rId4" w:type="default"/>
          <w:footerReference r:id="rId6" w:type="default"/>
          <w:headerReference r:id="rId5" w:type="even"/>
          <w:footerReference r:id="rId7" w:type="even"/>
          <w:type w:val="continuous"/>
          <w:pgSz w:w="11910" w:h="16840"/>
          <w:pgMar w:top="2154" w:right="1474" w:bottom="1474" w:left="1474" w:header="0" w:footer="1106" w:gutter="0"/>
          <w:pgNumType w:fmt="decimal" w:start="1"/>
          <w:cols w:space="0" w:num="1"/>
          <w:rtlGutter w:val="0"/>
          <w:docGrid w:type="linesAndChars" w:linePitch="600" w:charSpace="-3342"/>
        </w:sectPr>
      </w:pPr>
      <w:r>
        <w:rPr>
          <w:rFonts w:hint="eastAsia" w:ascii="仿宋_GB2312" w:hAnsi="仿宋_GB2312" w:eastAsia="仿宋_GB2312" w:cs="仿宋_GB2312"/>
          <w:sz w:val="32"/>
          <w:szCs w:val="32"/>
          <w:lang w:eastAsia="zh-CN"/>
        </w:rPr>
        <w:t>对于用户提出信用办气申请的，由供气企业工作人员通过信用中国（广东佛山）网查询调用用户电子信用报告，对于经核实后符合应用范围的，引导用户签订《信用办气承诺书》（格式见附件 2），并通过信用中国（广东佛山）网向社会公开后，完成用气业务受理，免除用户提交相关申请资料。</w:t>
      </w:r>
      <w:bookmarkStart w:id="0" w:name="_GoBack"/>
      <w:bookmarkEnd w:id="0"/>
    </w:p>
    <w:p>
      <w:pPr>
        <w:spacing w:before="12"/>
        <w:rPr>
          <w:rFonts w:ascii="宋体" w:hAnsi="宋体" w:eastAsia="宋体" w:cs="宋体"/>
          <w:sz w:val="14"/>
          <w:szCs w:val="14"/>
          <w:lang w:eastAsia="zh-CN"/>
        </w:rPr>
      </w:pPr>
    </w:p>
    <w:p>
      <w:pPr>
        <w:rPr>
          <w:rFonts w:ascii="宋体" w:hAnsi="宋体" w:eastAsia="宋体" w:cs="宋体"/>
          <w:sz w:val="2"/>
          <w:szCs w:val="2"/>
          <w:lang w:eastAsia="zh-CN"/>
        </w:rPr>
      </w:pPr>
    </w:p>
    <w:sectPr>
      <w:headerReference r:id="rId8" w:type="default"/>
      <w:footerReference r:id="rId10" w:type="default"/>
      <w:headerReference r:id="rId9" w:type="even"/>
      <w:footerReference r:id="rId11" w:type="even"/>
      <w:pgSz w:w="11910" w:h="16840"/>
      <w:pgMar w:top="1600" w:right="1400" w:bottom="1280" w:left="1440" w:header="0" w:footer="1091"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7</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7</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8</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8</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9</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9</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7</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7</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rPr>
          <w:rFonts w:hint="eastAsia" w:eastAsiaTheme="minorEastAsia"/>
          <w:lang w:eastAsia="zh-CN"/>
        </w:rPr>
      </w:pPr>
      <w:r>
        <w:rPr>
          <w:rStyle w:val="11"/>
        </w:rPr>
        <w:footnoteRef/>
      </w:r>
      <w:r>
        <w:rPr>
          <w:lang w:eastAsia="zh-CN"/>
        </w:rPr>
        <w:t xml:space="preserve"> </w:t>
      </w:r>
      <w:r>
        <w:rPr>
          <w:rFonts w:hint="eastAsia" w:eastAsiaTheme="minorEastAsia"/>
          <w:lang w:eastAsia="zh-CN"/>
        </w:rPr>
        <w:t>信用等级评价按照《佛山市企业公共信用综合评价规范指引》执行。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02"/>
  <w:drawingGridVerticalSpacing w:val="300"/>
  <w:displayHorizontalDrawingGridEvery w:val="2"/>
  <w:displayVerticalDrawingGridEvery w:val="2"/>
  <w:characterSpacingControl w:val="doNotCompress"/>
  <w:footnotePr>
    <w:footnote w:id="2"/>
    <w:footnote w:id="3"/>
  </w:foot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YTYyNzRjN2ExZDQxYTRjMGY1YzllZTI4MTJiZjAifQ=="/>
  </w:docVars>
  <w:rsids>
    <w:rsidRoot w:val="00BB5FCD"/>
    <w:rsid w:val="00030B6E"/>
    <w:rsid w:val="000B2FEC"/>
    <w:rsid w:val="001D7A9F"/>
    <w:rsid w:val="00224FD1"/>
    <w:rsid w:val="002C356E"/>
    <w:rsid w:val="002F4057"/>
    <w:rsid w:val="004917E6"/>
    <w:rsid w:val="008B138F"/>
    <w:rsid w:val="008F2301"/>
    <w:rsid w:val="00902639"/>
    <w:rsid w:val="009A1296"/>
    <w:rsid w:val="00B00074"/>
    <w:rsid w:val="00B35FF3"/>
    <w:rsid w:val="00BB5FCD"/>
    <w:rsid w:val="00D71099"/>
    <w:rsid w:val="00D943B8"/>
    <w:rsid w:val="00DD46C4"/>
    <w:rsid w:val="00E16103"/>
    <w:rsid w:val="00E51113"/>
    <w:rsid w:val="00F511F2"/>
    <w:rsid w:val="00F70F41"/>
    <w:rsid w:val="3FABA9E0"/>
    <w:rsid w:val="537EF8A0"/>
    <w:rsid w:val="5CFF0CC7"/>
    <w:rsid w:val="5FB7BBD7"/>
    <w:rsid w:val="665A5F3D"/>
    <w:rsid w:val="77FFAE42"/>
    <w:rsid w:val="9FDFA3B4"/>
    <w:rsid w:val="9FF763AA"/>
    <w:rsid w:val="AFDE276D"/>
    <w:rsid w:val="AFEE2873"/>
    <w:rsid w:val="BC5FAC99"/>
    <w:rsid w:val="BF8D7C56"/>
    <w:rsid w:val="FFBF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4">
    <w:name w:val="heading 1"/>
    <w:basedOn w:val="1"/>
    <w:qFormat/>
    <w:uiPriority w:val="1"/>
    <w:pPr>
      <w:outlineLvl w:val="0"/>
    </w:pPr>
    <w:rPr>
      <w:rFonts w:ascii="方正小标宋简体" w:hAnsi="方正小标宋简体" w:eastAsia="方正小标宋简体"/>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520" w:lineRule="atLeast"/>
      <w:ind w:firstLine="540"/>
    </w:pPr>
    <w:rPr>
      <w:rFonts w:ascii="宋体"/>
      <w:sz w:val="28"/>
    </w:rPr>
  </w:style>
  <w:style w:type="paragraph" w:styleId="5">
    <w:name w:val="Body Text"/>
    <w:basedOn w:val="1"/>
    <w:qFormat/>
    <w:uiPriority w:val="1"/>
    <w:pPr>
      <w:ind w:left="111"/>
    </w:pPr>
    <w:rPr>
      <w:rFonts w:ascii="宋体" w:hAnsi="宋体" w:eastAsia="宋体"/>
      <w:sz w:val="32"/>
      <w:szCs w:val="32"/>
    </w:rPr>
  </w:style>
  <w:style w:type="paragraph" w:styleId="6">
    <w:name w:val="footer"/>
    <w:basedOn w:val="1"/>
    <w:link w:val="17"/>
    <w:qFormat/>
    <w:uiPriority w:val="0"/>
    <w:pPr>
      <w:tabs>
        <w:tab w:val="center" w:pos="4153"/>
        <w:tab w:val="right" w:pos="8306"/>
      </w:tabs>
      <w:snapToGrid w:val="0"/>
    </w:pPr>
    <w:rPr>
      <w:sz w:val="18"/>
      <w:szCs w:val="18"/>
    </w:rPr>
  </w:style>
  <w:style w:type="paragraph" w:styleId="7">
    <w:name w:val="header"/>
    <w:basedOn w:val="1"/>
    <w:link w:val="16"/>
    <w:qFormat/>
    <w:uiPriority w:val="0"/>
    <w:pPr>
      <w:tabs>
        <w:tab w:val="center" w:pos="4153"/>
        <w:tab w:val="right" w:pos="8306"/>
      </w:tabs>
      <w:snapToGrid w:val="0"/>
      <w:jc w:val="center"/>
    </w:pPr>
    <w:rPr>
      <w:sz w:val="18"/>
      <w:szCs w:val="18"/>
    </w:rPr>
  </w:style>
  <w:style w:type="paragraph" w:styleId="8">
    <w:name w:val="footnote text"/>
    <w:basedOn w:val="1"/>
    <w:link w:val="18"/>
    <w:qFormat/>
    <w:uiPriority w:val="0"/>
    <w:pPr>
      <w:snapToGrid w:val="0"/>
    </w:pPr>
    <w:rPr>
      <w:sz w:val="18"/>
      <w:szCs w:val="18"/>
    </w:rPr>
  </w:style>
  <w:style w:type="character" w:styleId="11">
    <w:name w:val="footnote reference"/>
    <w:basedOn w:val="10"/>
    <w:qFormat/>
    <w:uiPriority w:val="0"/>
    <w:rPr>
      <w:vertAlign w:val="superscript"/>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paragraph" w:customStyle="1" w:styleId="15">
    <w:name w:val="修订1"/>
    <w:hidden/>
    <w:unhideWhenUsed/>
    <w:qFormat/>
    <w:uiPriority w:val="99"/>
    <w:rPr>
      <w:rFonts w:asciiTheme="minorHAnsi" w:hAnsiTheme="minorHAnsi" w:eastAsiaTheme="minorHAnsi" w:cstheme="minorBidi"/>
      <w:sz w:val="22"/>
      <w:szCs w:val="22"/>
      <w:lang w:val="en-US" w:eastAsia="en-US" w:bidi="ar-SA"/>
    </w:rPr>
  </w:style>
  <w:style w:type="character" w:customStyle="1" w:styleId="16">
    <w:name w:val="页眉 字符"/>
    <w:basedOn w:val="10"/>
    <w:link w:val="7"/>
    <w:qFormat/>
    <w:uiPriority w:val="0"/>
    <w:rPr>
      <w:rFonts w:eastAsiaTheme="minorHAnsi"/>
      <w:sz w:val="18"/>
      <w:szCs w:val="18"/>
      <w:lang w:eastAsia="en-US"/>
    </w:rPr>
  </w:style>
  <w:style w:type="character" w:customStyle="1" w:styleId="17">
    <w:name w:val="页脚 字符"/>
    <w:basedOn w:val="10"/>
    <w:link w:val="6"/>
    <w:qFormat/>
    <w:uiPriority w:val="0"/>
    <w:rPr>
      <w:rFonts w:eastAsiaTheme="minorHAnsi"/>
      <w:sz w:val="18"/>
      <w:szCs w:val="18"/>
      <w:lang w:eastAsia="en-US"/>
    </w:rPr>
  </w:style>
  <w:style w:type="character" w:customStyle="1" w:styleId="18">
    <w:name w:val="脚注文本 字符"/>
    <w:basedOn w:val="10"/>
    <w:link w:val="8"/>
    <w:qFormat/>
    <w:uiPriority w:val="0"/>
    <w:rPr>
      <w:rFonts w:eastAsiaTheme="minorHAnsi"/>
      <w:sz w:val="18"/>
      <w:szCs w:val="18"/>
      <w:lang w:eastAsia="en-US"/>
    </w:rPr>
  </w:style>
  <w:style w:type="paragraph" w:customStyle="1" w:styleId="19">
    <w:name w:val="Revision"/>
    <w:hidden/>
    <w:unhideWhenUsed/>
    <w:qFormat/>
    <w:uiPriority w:val="99"/>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429</Words>
  <Characters>2446</Characters>
  <Lines>20</Lines>
  <Paragraphs>5</Paragraphs>
  <TotalTime>2</TotalTime>
  <ScaleCrop>false</ScaleCrop>
  <LinksUpToDate>false</LinksUpToDate>
  <CharactersWithSpaces>2870</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2024-05-20T06:14:00Z</dcterms:created>
  <dc:creator>fsgas</dc:creator>
  <cp:lastModifiedBy>林晓君</cp:lastModifiedBy>
  <dcterms:modified xsi:type="dcterms:W3CDTF">2024-06-20T16:46:48Z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LastSaved">
    <vt:filetime>2024-05-16T00:00:00Z</vt:filetime>
  </property>
  <property fmtid="{D5CDD505-2E9C-101B-9397-08002B2CF9AE}" pid="4" name="KSOProductBuildVer">
    <vt:lpwstr>2052-11.8.2.12024</vt:lpwstr>
  </property>
  <property fmtid="{D5CDD505-2E9C-101B-9397-08002B2CF9AE}" pid="5" name="ICV">
    <vt:lpwstr>4CA9D91C9A1FA97C5FA473668CF882CB</vt:lpwstr>
  </property>
</Properties>
</file>