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/>
          <w:sz w:val="44"/>
          <w:szCs w:val="44"/>
        </w:rPr>
        <w:t>届佛山市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不动产登记行风监督员</w:t>
      </w:r>
      <w:r>
        <w:rPr>
          <w:rFonts w:hint="eastAsia" w:ascii="方正小标宋简体" w:hAnsi="方正小标宋简体" w:eastAsia="方正小标宋简体"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国标仿宋" w:hAnsi="国标仿宋" w:eastAsia="国标仿宋" w:cs="国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陈顾雅，女，佛山市禅城区祖庙街道北江社区党委书记、居委会主任，市人大代表。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程凤珍，女，佛山市绿之源环保技术有限公司董事长、经理，市政协委员。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  程，男，广东泽康律师事务所副主任。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  洁，女，招商银行股份有限公司佛山分行零售信贷部总经理助理。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许红卫，男，广东法地空间规划设计咨询有限公司总经理。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康停军，男，佛山市测绘地理信息研究院有限公司总经理助理。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曲昌寿，男，佛山市万科企业股份有限公司开发报建总监。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芦燕芬，女，佛山市合富置业房地产顾问有限公司资深经理。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吴若明，男，广东兴海投资集团有限公司投资开发部总监。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国标仿宋" w:hAnsi="国标仿宋" w:eastAsia="国标仿宋" w:cs="国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孙宁宁，女，佛山泰旺科技有限公司法定代表人。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国标仿宋">
    <w:altName w:val="仿宋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D2A85"/>
    <w:rsid w:val="5F4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basedOn w:val="1"/>
    <w:qFormat/>
    <w:uiPriority w:val="1"/>
    <w:pPr>
      <w:ind w:firstLine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2024-06-07T02:41:00Z</dcterms:created>
  <dc:creator>Administrator</dc:creator>
  <cp:lastModifiedBy>Administrator</cp:lastModifiedBy>
  <dcterms:modified xsi:type="dcterms:W3CDTF">2024-06-07T02:42:41Z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DBED79CA6AD24D14AD79F1BFC80D42C2</vt:lpwstr>
  </property>
</Properties>
</file>