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p>
    <w:p>
      <w:pPr>
        <w:spacing w:line="360" w:lineRule="auto"/>
        <w:jc w:val="center"/>
        <w:rPr>
          <w:rFonts w:hint="eastAsia" w:ascii="仿宋_GB2312" w:hAnsi="仿宋_GB2312" w:eastAsia="仿宋_GB2312" w:cs="仿宋_GB2312"/>
          <w:b/>
          <w:sz w:val="48"/>
          <w:szCs w:val="48"/>
        </w:rPr>
      </w:pPr>
    </w:p>
    <w:p>
      <w:pPr>
        <w:spacing w:line="360" w:lineRule="auto"/>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48"/>
          <w:szCs w:val="48"/>
        </w:rPr>
        <w:t>电子保函（保单</w:t>
      </w:r>
      <w:r>
        <w:rPr>
          <w:rFonts w:ascii="仿宋_GB2312" w:hAnsi="仿宋_GB2312" w:eastAsia="仿宋_GB2312" w:cs="仿宋_GB2312"/>
          <w:b/>
          <w:sz w:val="48"/>
          <w:szCs w:val="48"/>
        </w:rPr>
        <w:t>）</w:t>
      </w:r>
      <w:r>
        <w:rPr>
          <w:rFonts w:hint="eastAsia" w:ascii="仿宋_GB2312" w:hAnsi="仿宋_GB2312" w:eastAsia="仿宋_GB2312" w:cs="仿宋_GB2312"/>
          <w:b/>
          <w:sz w:val="48"/>
          <w:szCs w:val="48"/>
        </w:rPr>
        <w:t>业务操作指南</w:t>
      </w:r>
    </w:p>
    <w:p>
      <w:pPr>
        <w:spacing w:line="360" w:lineRule="auto"/>
        <w:jc w:val="center"/>
        <w:rPr>
          <w:rFonts w:hint="eastAsia" w:ascii="仿宋_GB2312" w:hAnsi="仿宋_GB2312" w:eastAsia="仿宋_GB2312" w:cs="仿宋_GB2312"/>
          <w:b/>
          <w:sz w:val="36"/>
          <w:szCs w:val="36"/>
        </w:rPr>
      </w:pPr>
    </w:p>
    <w:p>
      <w:pPr>
        <w:spacing w:line="360" w:lineRule="auto"/>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（招标人或招标代理机构）</w:t>
      </w:r>
    </w:p>
    <w:p>
      <w:pPr>
        <w:spacing w:line="360" w:lineRule="auto"/>
        <w:jc w:val="center"/>
        <w:rPr>
          <w:rFonts w:hint="eastAsia" w:ascii="仿宋_GB2312" w:hAnsi="仿宋_GB2312" w:eastAsia="仿宋_GB2312" w:cs="仿宋_GB2312"/>
          <w:b/>
          <w:sz w:val="36"/>
          <w:szCs w:val="36"/>
        </w:rPr>
      </w:pPr>
    </w:p>
    <w:p>
      <w:pPr>
        <w:spacing w:line="360" w:lineRule="auto"/>
        <w:rPr>
          <w:rFonts w:hint="eastAsia" w:ascii="仿宋_GB2312" w:hAnsi="仿宋_GB2312" w:eastAsia="仿宋_GB2312" w:cs="仿宋_GB2312"/>
          <w:b/>
        </w:rPr>
      </w:pPr>
    </w:p>
    <w:p>
      <w:pPr>
        <w:spacing w:line="360" w:lineRule="auto"/>
        <w:jc w:val="center"/>
        <w:rPr>
          <w:rFonts w:hint="eastAsia" w:ascii="仿宋_GB2312" w:hAnsi="仿宋_GB2312" w:eastAsia="仿宋_GB2312" w:cs="仿宋_GB2312"/>
          <w:b/>
        </w:rPr>
      </w:pPr>
    </w:p>
    <w:p>
      <w:pPr>
        <w:spacing w:line="360" w:lineRule="auto"/>
        <w:rPr>
          <w:rFonts w:hint="eastAsia" w:ascii="仿宋_GB2312" w:hAnsi="仿宋_GB2312" w:eastAsia="仿宋_GB2312" w:cs="仿宋_GB2312"/>
        </w:rPr>
      </w:pPr>
    </w:p>
    <w:p>
      <w:pPr>
        <w:spacing w:line="360" w:lineRule="auto"/>
        <w:jc w:val="center"/>
        <w:rPr>
          <w:rFonts w:hint="eastAsia" w:ascii="仿宋_GB2312" w:hAnsi="仿宋_GB2312" w:eastAsia="仿宋_GB2312" w:cs="仿宋_GB2312"/>
          <w:sz w:val="30"/>
          <w:szCs w:val="30"/>
        </w:rPr>
      </w:pPr>
    </w:p>
    <w:p>
      <w:pPr>
        <w:jc w:val="center"/>
        <w:rPr>
          <w:rFonts w:hint="eastAsia" w:ascii="仿宋_GB2312" w:hAnsi="仿宋_GB2312" w:eastAsia="仿宋_GB2312" w:cs="仿宋_GB2312"/>
          <w:sz w:val="30"/>
          <w:szCs w:val="30"/>
        </w:rPr>
      </w:pPr>
    </w:p>
    <w:p>
      <w:pPr>
        <w:jc w:val="center"/>
        <w:rPr>
          <w:rFonts w:hint="eastAsia" w:ascii="仿宋_GB2312" w:hAnsi="仿宋_GB2312" w:eastAsia="仿宋_GB2312" w:cs="仿宋_GB2312"/>
          <w:sz w:val="30"/>
          <w:szCs w:val="30"/>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
      <w:pPr>
        <w:spacing w:before="0" w:beforeLines="-2147483648" w:after="0" w:afterLines="-2147483648" w:line="240" w:lineRule="auto"/>
        <w:ind w:left="0" w:leftChars="0" w:right="0" w:rightChars="0" w:firstLine="0" w:firstLineChars="0"/>
        <w:jc w:val="center"/>
      </w:pPr>
    </w:p>
    <w:sdt>
      <w:sdtPr>
        <w:rPr>
          <w:rFonts w:hint="eastAsia" w:ascii="仿宋" w:hAnsi="仿宋" w:eastAsia="仿宋" w:cs="仿宋"/>
          <w:b/>
          <w:bCs/>
          <w:kern w:val="2"/>
          <w:sz w:val="36"/>
          <w:szCs w:val="36"/>
          <w:lang w:val="en-US" w:eastAsia="zh-CN" w:bidi="ar-SA"/>
        </w:rPr>
        <w:id w:val="147468193"/>
        <w15:color w:val="DBDBDB"/>
        <w:docPartObj>
          <w:docPartGallery w:val="Table of Contents"/>
          <w:docPartUnique/>
        </w:docPartObj>
      </w:sdtPr>
      <w:sdtEndPr>
        <w:rPr>
          <w:rFonts w:hint="eastAsia" w:ascii="仿宋" w:hAnsi="仿宋" w:eastAsia="仿宋" w:cs="仿宋"/>
          <w:b/>
          <w:bCs/>
          <w:kern w:val="2"/>
          <w:sz w:val="36"/>
          <w:szCs w:val="36"/>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b/>
              <w:bCs/>
              <w:sz w:val="36"/>
              <w:szCs w:val="36"/>
            </w:rPr>
          </w:pPr>
          <w:r>
            <w:rPr>
              <w:rFonts w:hint="eastAsia" w:ascii="仿宋" w:hAnsi="仿宋" w:eastAsia="仿宋" w:cs="仿宋"/>
              <w:b/>
              <w:bCs/>
              <w:sz w:val="36"/>
              <w:szCs w:val="36"/>
            </w:rPr>
            <w:t>目</w:t>
          </w: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录</w:t>
          </w:r>
        </w:p>
        <w:p>
          <w:pPr>
            <w:pStyle w:val="6"/>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TOC \o "1-3" \h \u </w:instrText>
          </w:r>
          <w:r>
            <w:rPr>
              <w:rFonts w:hint="eastAsia" w:ascii="仿宋" w:hAnsi="仿宋" w:eastAsia="仿宋" w:cs="仿宋"/>
              <w:sz w:val="32"/>
              <w:szCs w:val="32"/>
            </w:rPr>
            <w:fldChar w:fldCharType="separate"/>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_Toc26511 </w:instrText>
          </w:r>
          <w:r>
            <w:rPr>
              <w:rFonts w:hint="eastAsia" w:ascii="仿宋" w:hAnsi="仿宋" w:eastAsia="仿宋" w:cs="仿宋"/>
              <w:sz w:val="32"/>
              <w:szCs w:val="32"/>
            </w:rPr>
            <w:fldChar w:fldCharType="separate"/>
          </w:r>
          <w:r>
            <w:rPr>
              <w:rFonts w:hint="eastAsia" w:ascii="仿宋" w:hAnsi="仿宋" w:eastAsia="仿宋" w:cs="仿宋"/>
              <w:sz w:val="32"/>
              <w:szCs w:val="32"/>
            </w:rPr>
            <w:t>一、选择投标担保的形式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_Toc26511 \h </w:instrText>
          </w:r>
          <w:r>
            <w:rPr>
              <w:rFonts w:hint="eastAsia" w:ascii="仿宋" w:hAnsi="仿宋" w:eastAsia="仿宋" w:cs="仿宋"/>
              <w:sz w:val="32"/>
              <w:szCs w:val="32"/>
            </w:rPr>
            <w:fldChar w:fldCharType="separate"/>
          </w:r>
          <w:r>
            <w:rPr>
              <w:rFonts w:hint="eastAsia" w:ascii="仿宋" w:hAnsi="仿宋" w:eastAsia="仿宋" w:cs="仿宋"/>
              <w:sz w:val="32"/>
              <w:szCs w:val="32"/>
            </w:rPr>
            <w:t>3</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6"/>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_Toc24244 </w:instrText>
          </w:r>
          <w:r>
            <w:rPr>
              <w:rFonts w:hint="eastAsia" w:ascii="仿宋" w:hAnsi="仿宋" w:eastAsia="仿宋" w:cs="仿宋"/>
              <w:sz w:val="32"/>
              <w:szCs w:val="32"/>
            </w:rPr>
            <w:fldChar w:fldCharType="separate"/>
          </w:r>
          <w:r>
            <w:rPr>
              <w:rFonts w:hint="eastAsia" w:ascii="仿宋" w:hAnsi="仿宋" w:eastAsia="仿宋" w:cs="仿宋"/>
              <w:sz w:val="32"/>
              <w:szCs w:val="32"/>
            </w:rPr>
            <w:t>二、</w:t>
          </w:r>
          <w:r>
            <w:rPr>
              <w:rFonts w:hint="eastAsia" w:ascii="仿宋" w:hAnsi="仿宋" w:eastAsia="仿宋" w:cs="仿宋"/>
              <w:bCs/>
              <w:sz w:val="32"/>
              <w:szCs w:val="32"/>
            </w:rPr>
            <w:t>电子保函（保单）的解密和查看</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_Toc24244 \h </w:instrText>
          </w:r>
          <w:r>
            <w:rPr>
              <w:rFonts w:hint="eastAsia" w:ascii="仿宋" w:hAnsi="仿宋" w:eastAsia="仿宋" w:cs="仿宋"/>
              <w:sz w:val="32"/>
              <w:szCs w:val="32"/>
            </w:rPr>
            <w:fldChar w:fldCharType="separate"/>
          </w:r>
          <w:r>
            <w:rPr>
              <w:rFonts w:hint="eastAsia" w:ascii="仿宋" w:hAnsi="仿宋" w:eastAsia="仿宋" w:cs="仿宋"/>
              <w:sz w:val="32"/>
              <w:szCs w:val="32"/>
            </w:rPr>
            <w:t>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6"/>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_Toc25047 </w:instrText>
          </w:r>
          <w:r>
            <w:rPr>
              <w:rFonts w:hint="eastAsia" w:ascii="仿宋" w:hAnsi="仿宋" w:eastAsia="仿宋" w:cs="仿宋"/>
              <w:sz w:val="32"/>
              <w:szCs w:val="32"/>
            </w:rPr>
            <w:fldChar w:fldCharType="separate"/>
          </w:r>
          <w:r>
            <w:rPr>
              <w:rFonts w:hint="eastAsia" w:ascii="仿宋" w:hAnsi="仿宋" w:eastAsia="仿宋" w:cs="仿宋"/>
              <w:bCs/>
              <w:sz w:val="32"/>
              <w:szCs w:val="32"/>
            </w:rPr>
            <w:t>三、电子保函的解保（保险保单没有解保程序）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_Toc25047 \h </w:instrText>
          </w:r>
          <w:r>
            <w:rPr>
              <w:rFonts w:hint="eastAsia" w:ascii="仿宋" w:hAnsi="仿宋" w:eastAsia="仿宋" w:cs="仿宋"/>
              <w:sz w:val="32"/>
              <w:szCs w:val="32"/>
            </w:rPr>
            <w:fldChar w:fldCharType="separate"/>
          </w:r>
          <w:r>
            <w:rPr>
              <w:rFonts w:hint="eastAsia" w:ascii="仿宋" w:hAnsi="仿宋" w:eastAsia="仿宋" w:cs="仿宋"/>
              <w:sz w:val="32"/>
              <w:szCs w:val="32"/>
            </w:rPr>
            <w:t>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6"/>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_Toc19622 </w:instrText>
          </w:r>
          <w:r>
            <w:rPr>
              <w:rFonts w:hint="eastAsia" w:ascii="仿宋" w:hAnsi="仿宋" w:eastAsia="仿宋" w:cs="仿宋"/>
              <w:sz w:val="32"/>
              <w:szCs w:val="32"/>
            </w:rPr>
            <w:fldChar w:fldCharType="separate"/>
          </w:r>
          <w:r>
            <w:rPr>
              <w:rFonts w:hint="eastAsia" w:ascii="仿宋" w:hAnsi="仿宋" w:eastAsia="仿宋" w:cs="仿宋"/>
              <w:bCs/>
              <w:sz w:val="32"/>
              <w:szCs w:val="32"/>
            </w:rPr>
            <w:t>四、电子保函（保单）的索赔</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_Toc19622 \h </w:instrText>
          </w:r>
          <w:r>
            <w:rPr>
              <w:rFonts w:hint="eastAsia" w:ascii="仿宋" w:hAnsi="仿宋" w:eastAsia="仿宋" w:cs="仿宋"/>
              <w:sz w:val="32"/>
              <w:szCs w:val="32"/>
            </w:rPr>
            <w:fldChar w:fldCharType="separate"/>
          </w:r>
          <w:r>
            <w:rPr>
              <w:rFonts w:hint="eastAsia" w:ascii="仿宋" w:hAnsi="仿宋" w:eastAsia="仿宋" w:cs="仿宋"/>
              <w:sz w:val="32"/>
              <w:szCs w:val="32"/>
            </w:rPr>
            <w:t>10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r>
            <w:rPr>
              <w:rFonts w:hint="eastAsia" w:ascii="仿宋" w:hAnsi="仿宋" w:eastAsia="仿宋" w:cs="仿宋"/>
              <w:sz w:val="32"/>
              <w:szCs w:val="32"/>
            </w:rPr>
            <w:fldChar w:fldCharType="end"/>
          </w:r>
        </w:p>
      </w:sdtContent>
    </w:sdt>
    <w:p>
      <w:pPr>
        <w:jc w:val="left"/>
        <w:rPr>
          <w:rFonts w:hint="eastAsia" w:ascii="仿宋_GB2312" w:hAnsi="仿宋_GB2312" w:eastAsia="仿宋_GB2312" w:cs="仿宋_GB2312"/>
          <w:b/>
          <w:bCs/>
          <w:sz w:val="32"/>
          <w:szCs w:val="32"/>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jc w:val="center"/>
        <w:rPr>
          <w:rFonts w:hint="eastAsia" w:ascii="仿宋_GB2312" w:hAnsi="仿宋_GB2312" w:eastAsia="仿宋_GB2312" w:cs="仿宋_GB2312"/>
          <w:b/>
          <w:sz w:val="44"/>
        </w:rPr>
      </w:pPr>
    </w:p>
    <w:p>
      <w:pPr>
        <w:ind w:firstLine="0" w:firstLineChars="0"/>
        <w:outlineLvl w:val="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br w:type="page"/>
      </w:r>
      <w:bookmarkStart w:id="0" w:name="_Toc26511"/>
      <w:bookmarkStart w:id="1" w:name="_Toc20654"/>
      <w:r>
        <w:rPr>
          <w:rFonts w:hint="eastAsia" w:ascii="仿宋_GB2312" w:hAnsi="仿宋_GB2312" w:eastAsia="仿宋_GB2312" w:cs="仿宋_GB2312"/>
          <w:b/>
          <w:sz w:val="32"/>
          <w:szCs w:val="32"/>
        </w:rPr>
        <w:t>一、选择投标担保的形式</w:t>
      </w:r>
      <w:bookmarkEnd w:id="0"/>
      <w:bookmarkEnd w:id="1"/>
    </w:p>
    <w:p>
      <w:pPr>
        <w:ind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1、招标代理机构根据项目招标文件的要求，在交易平台项目发布模块“08投标保证金”选择是否缴纳保证金，如选择了“是”，则须填写保证金金额。详见图1。</w:t>
      </w:r>
    </w:p>
    <w:p>
      <w:pPr>
        <w:ind w:firstLine="315" w:firstLineChars="150"/>
        <w:jc w:val="left"/>
        <w:rPr>
          <w:rFonts w:hint="eastAsia" w:ascii="仿宋_GB2312" w:hAnsi="仿宋_GB2312" w:eastAsia="仿宋_GB2312" w:cs="仿宋_GB2312"/>
          <w:sz w:val="32"/>
          <w:szCs w:val="32"/>
        </w:rPr>
      </w:pPr>
      <w:r>
        <w:rPr>
          <w:rFonts w:hint="eastAsia" w:ascii="仿宋_GB2312" w:hAnsi="仿宋_GB2312" w:eastAsia="仿宋_GB2312" w:cs="仿宋_GB2312"/>
        </w:rPr>
        <w:drawing>
          <wp:inline distT="0" distB="0" distL="114300" distR="114300">
            <wp:extent cx="5029200" cy="2310130"/>
            <wp:effectExtent l="0" t="0" r="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029200" cy="2310130"/>
                    </a:xfrm>
                    <a:prstGeom prst="rect">
                      <a:avLst/>
                    </a:prstGeom>
                    <a:noFill/>
                    <a:ln>
                      <a:noFill/>
                    </a:ln>
                  </pic:spPr>
                </pic:pic>
              </a:graphicData>
            </a:graphic>
          </wp:inline>
        </w:drawing>
      </w:r>
    </w:p>
    <w:p>
      <w:pPr>
        <w:ind w:firstLine="360" w:firstLineChars="150"/>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图1</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2、招标代理机构须根据项目招标文件准确填写保证金金额。详见图2。</w:t>
      </w:r>
    </w:p>
    <w:p>
      <w:pPr>
        <w:ind w:firstLine="315" w:firstLineChars="150"/>
        <w:jc w:val="left"/>
        <w:rPr>
          <w:rFonts w:hint="eastAsia" w:ascii="仿宋_GB2312" w:hAnsi="仿宋_GB2312" w:eastAsia="仿宋_GB2312" w:cs="仿宋_GB2312"/>
          <w:b/>
          <w:sz w:val="32"/>
          <w:szCs w:val="32"/>
        </w:rPr>
      </w:pPr>
      <w:r>
        <w:rPr>
          <w:rFonts w:hint="eastAsia" w:ascii="仿宋_GB2312" w:hAnsi="仿宋_GB2312" w:eastAsia="仿宋_GB2312" w:cs="仿宋_GB2312"/>
        </w:rPr>
        <w:drawing>
          <wp:inline distT="0" distB="0" distL="114300" distR="114300">
            <wp:extent cx="5076825" cy="24098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076825" cy="2409825"/>
                    </a:xfrm>
                    <a:prstGeom prst="rect">
                      <a:avLst/>
                    </a:prstGeom>
                    <a:noFill/>
                    <a:ln>
                      <a:noFill/>
                    </a:ln>
                  </pic:spPr>
                </pic:pic>
              </a:graphicData>
            </a:graphic>
          </wp:inline>
        </w:drawing>
      </w:r>
    </w:p>
    <w:p>
      <w:pPr>
        <w:ind w:firstLine="360" w:firstLineChars="150"/>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图2</w:t>
      </w:r>
    </w:p>
    <w:p>
      <w:pPr>
        <w:ind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根据《佛山市政务服务数据管理局等12部门关于在工程建设项目招标投标领域全面推广应用投标担保有关事项的通知》（佛政数【2021】15号），投标保证金的缴纳方式为现金或者投标担保（本选项已固化，不能修改）。招标代理机构须在“保函缴纳方式”选择框勾选“电子保函”或“纸质保函”，须选择其中一种或全选。详见图3。</w:t>
      </w:r>
      <w:r>
        <w:rPr>
          <w:rFonts w:hint="eastAsia" w:ascii="仿宋_GB2312" w:hAnsi="仿宋_GB2312" w:eastAsia="仿宋_GB2312" w:cs="仿宋_GB2312"/>
          <w:b/>
          <w:color w:val="FF0000"/>
          <w:sz w:val="32"/>
          <w:szCs w:val="32"/>
        </w:rPr>
        <w:t>电子保函(保单)按照《佛山市政务服务数据管理局等12部门关于在工程建设项目招标投标领域全面推广应用投标担保有关事项的通知》（佛政数【2021】15号）所规定的格式自动生成</w:t>
      </w:r>
      <w:r>
        <w:rPr>
          <w:rFonts w:hint="eastAsia" w:ascii="仿宋_GB2312" w:hAnsi="仿宋_GB2312" w:eastAsia="仿宋_GB2312" w:cs="仿宋_GB2312"/>
          <w:b/>
          <w:sz w:val="32"/>
          <w:szCs w:val="32"/>
        </w:rPr>
        <w:t>。</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80660" cy="2590800"/>
            <wp:effectExtent l="0" t="0" r="15240" b="0"/>
            <wp:docPr id="3" name="图片 3" descr="说明: C:\Users\Administrator\Documents\Tencent Files\439409658\Image\C2C\~$`@4HX1}N3R])FAGY~P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C:\Users\Administrator\Documents\Tencent Files\439409658\Image\C2C\~$`@4HX1}N3R])FAGY~PX(M.JPG"/>
                    <pic:cNvPicPr>
                      <a:picLocks noChangeAspect="1"/>
                    </pic:cNvPicPr>
                  </pic:nvPicPr>
                  <pic:blipFill>
                    <a:blip r:embed="rId7"/>
                    <a:stretch>
                      <a:fillRect/>
                    </a:stretch>
                  </pic:blipFill>
                  <pic:spPr>
                    <a:xfrm>
                      <a:off x="0" y="0"/>
                      <a:ext cx="5280660" cy="2590800"/>
                    </a:xfrm>
                    <a:prstGeom prst="rect">
                      <a:avLst/>
                    </a:prstGeom>
                    <a:noFill/>
                    <a:ln>
                      <a:noFill/>
                    </a:ln>
                  </pic:spPr>
                </pic:pic>
              </a:graphicData>
            </a:graphic>
          </wp:inline>
        </w:drawing>
      </w:r>
    </w:p>
    <w:p>
      <w:pPr>
        <w:ind w:firstLine="360" w:firstLineChars="150"/>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图3</w:t>
      </w:r>
    </w:p>
    <w:p>
      <w:pPr>
        <w:ind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如投标担保方式未选择电子保函，项目信息不推送到电子保函服务支撑平台，潜在投标人不能办理该项目的电子保函。招标人或其委托的招标代理机构选择保函缴纳方式包括电子保函（保单）的项目，在项目发布模块对外发布招标公告后，交易平台推送项目相关信息到电子保函服务支撑平台。</w:t>
      </w:r>
      <w:r>
        <w:rPr>
          <w:rFonts w:hint="eastAsia" w:ascii="仿宋_GB2312" w:hAnsi="仿宋_GB2312" w:eastAsia="仿宋_GB2312" w:cs="仿宋_GB2312"/>
          <w:b/>
          <w:color w:val="FF0000"/>
          <w:sz w:val="32"/>
          <w:szCs w:val="32"/>
        </w:rPr>
        <w:t>招标代理机构须准确填写保证金金额，以避免出现潜在投标人办理电子保函（保单）时担保金额不符合要求的情况</w:t>
      </w:r>
      <w:r>
        <w:rPr>
          <w:rFonts w:hint="eastAsia" w:ascii="仿宋_GB2312" w:hAnsi="仿宋_GB2312" w:eastAsia="仿宋_GB2312" w:cs="仿宋_GB2312"/>
          <w:b/>
          <w:sz w:val="32"/>
          <w:szCs w:val="32"/>
        </w:rPr>
        <w:t>。</w:t>
      </w:r>
    </w:p>
    <w:p>
      <w:pPr>
        <w:ind w:firstLine="643" w:firstLineChars="200"/>
        <w:rPr>
          <w:rFonts w:hint="eastAsia" w:ascii="仿宋_GB2312" w:hAnsi="仿宋_GB2312" w:eastAsia="仿宋_GB2312" w:cs="仿宋_GB2312"/>
          <w:b/>
          <w:sz w:val="32"/>
          <w:szCs w:val="32"/>
        </w:rPr>
      </w:pPr>
    </w:p>
    <w:p>
      <w:pPr>
        <w:ind w:firstLine="643" w:firstLineChars="200"/>
        <w:rPr>
          <w:rFonts w:hint="eastAsia" w:ascii="仿宋_GB2312" w:hAnsi="仿宋_GB2312" w:eastAsia="仿宋_GB2312" w:cs="仿宋_GB2312"/>
          <w:b/>
          <w:sz w:val="32"/>
          <w:szCs w:val="32"/>
        </w:rPr>
      </w:pPr>
    </w:p>
    <w:p>
      <w:pPr>
        <w:ind w:firstLine="0" w:firstLineChars="0"/>
        <w:outlineLvl w:val="0"/>
        <w:rPr>
          <w:rFonts w:hint="eastAsia" w:ascii="仿宋_GB2312" w:hAnsi="仿宋_GB2312" w:eastAsia="仿宋_GB2312" w:cs="仿宋_GB2312"/>
          <w:b/>
          <w:bCs/>
          <w:sz w:val="32"/>
          <w:szCs w:val="32"/>
        </w:rPr>
      </w:pPr>
      <w:bookmarkStart w:id="2" w:name="_Toc25081"/>
      <w:bookmarkStart w:id="3" w:name="_Toc24244"/>
      <w:r>
        <w:rPr>
          <w:rFonts w:hint="eastAsia" w:ascii="仿宋_GB2312" w:hAnsi="仿宋_GB2312" w:eastAsia="仿宋_GB2312" w:cs="仿宋_GB2312"/>
          <w:sz w:val="32"/>
          <w:szCs w:val="32"/>
        </w:rPr>
        <w:t>二、</w:t>
      </w:r>
      <w:r>
        <w:rPr>
          <w:rFonts w:hint="eastAsia" w:ascii="仿宋_GB2312" w:hAnsi="仿宋_GB2312" w:eastAsia="仿宋_GB2312" w:cs="仿宋_GB2312"/>
          <w:b/>
          <w:bCs/>
          <w:sz w:val="32"/>
          <w:szCs w:val="32"/>
        </w:rPr>
        <w:t>电子保函（保单）的解密和查看</w:t>
      </w:r>
      <w:bookmarkEnd w:id="2"/>
      <w:bookmarkEnd w:id="3"/>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开标会期间，招标代理机构登录交易平台“网上开评标”模块，点击“公布投标单位名单”按钮后交易平台向电子保函服务支撑平台发送电子保函解密请求，解密期间招标人或其委托的招标代理机构不得进行其他操作。详见图4。</w:t>
      </w:r>
    </w:p>
    <w:p>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307330" cy="2303780"/>
            <wp:effectExtent l="0" t="0" r="7620" b="1270"/>
            <wp:docPr id="4" name="图片 11" descr="2021080316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20210803161158"/>
                    <pic:cNvPicPr>
                      <a:picLocks noChangeAspect="1"/>
                    </pic:cNvPicPr>
                  </pic:nvPicPr>
                  <pic:blipFill>
                    <a:blip r:embed="rId8"/>
                    <a:stretch>
                      <a:fillRect/>
                    </a:stretch>
                  </pic:blipFill>
                  <pic:spPr>
                    <a:xfrm>
                      <a:off x="0" y="0"/>
                      <a:ext cx="5307330" cy="2303780"/>
                    </a:xfrm>
                    <a:prstGeom prst="rect">
                      <a:avLst/>
                    </a:prstGeom>
                    <a:noFill/>
                    <a:ln>
                      <a:noFill/>
                    </a:ln>
                  </pic:spPr>
                </pic:pic>
              </a:graphicData>
            </a:graphic>
          </wp:inline>
        </w:drawing>
      </w:r>
    </w:p>
    <w:p>
      <w:pPr>
        <w:ind w:firstLine="360" w:firstLineChars="150"/>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图4</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从招标代理机构点击“公布投标单位名单”按钮开始，5分钟内完成解密（解密时长与办理电子保函、保单的数量和其是否成功解密有关，最短1分钟，如1分钟后仍有未成功解密的情况，则每隔2分钟重新获取一次信息，以此类推，直至5分钟）。信息获取完成时，交易平台提示“获取开标相关信息成功！电子保函总数为：XX，解密成功数为：XX，解密失败数为：XX。”详见图5。</w:t>
      </w:r>
    </w:p>
    <w:p>
      <w:pPr>
        <w:jc w:val="center"/>
        <w:rPr>
          <w:rFonts w:hint="eastAsia" w:ascii="仿宋_GB2312" w:hAnsi="仿宋_GB2312" w:eastAsia="仿宋_GB2312" w:cs="仿宋_GB2312"/>
          <w:szCs w:val="21"/>
        </w:rPr>
      </w:pPr>
      <w:r>
        <w:drawing>
          <wp:inline distT="0" distB="0" distL="114300" distR="114300">
            <wp:extent cx="5263515" cy="2450465"/>
            <wp:effectExtent l="0" t="0" r="1333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263515" cy="2450465"/>
                    </a:xfrm>
                    <a:prstGeom prst="rect">
                      <a:avLst/>
                    </a:prstGeom>
                    <a:noFill/>
                    <a:ln>
                      <a:noFill/>
                    </a:ln>
                  </pic:spPr>
                </pic:pic>
              </a:graphicData>
            </a:graphic>
          </wp:inline>
        </w:drawing>
      </w:r>
    </w:p>
    <w:p>
      <w:pPr>
        <w:ind w:firstLine="330" w:firstLineChars="150"/>
        <w:jc w:val="center"/>
        <w:rPr>
          <w:rFonts w:hint="eastAsia" w:ascii="仿宋_GB2312" w:hAnsi="仿宋_GB2312" w:eastAsia="仿宋_GB2312" w:cs="仿宋_GB2312"/>
          <w:sz w:val="22"/>
          <w:szCs w:val="21"/>
        </w:rPr>
      </w:pPr>
      <w:r>
        <w:rPr>
          <w:rFonts w:hint="eastAsia" w:ascii="仿宋_GB2312" w:hAnsi="仿宋_GB2312" w:eastAsia="仿宋_GB2312" w:cs="仿宋_GB2312"/>
          <w:sz w:val="22"/>
          <w:szCs w:val="21"/>
        </w:rPr>
        <w:t>图5</w:t>
      </w:r>
    </w:p>
    <w:p>
      <w:pPr>
        <w:numPr>
          <w:ilvl w:val="0"/>
          <w:numId w:val="1"/>
        </w:num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如出现上述第2点保函、保单解密失败的情况，保证机构须马上查明原因，尽快解密其电子保函、保单，完成明文保函、保单的签章后，保证机构业务系统补充推送信息到电子保函服务支撑平台、交易平台，招标代理机构点击“更新保函信息”按钮获取最新信息，详见图6。如短时间内未解决以上问题，招标代理</w:t>
      </w:r>
      <w:r>
        <w:rPr>
          <w:rFonts w:hint="eastAsia" w:ascii="仿宋_GB2312" w:hAnsi="仿宋_GB2312" w:eastAsia="仿宋_GB2312" w:cs="仿宋_GB2312"/>
          <w:sz w:val="32"/>
          <w:szCs w:val="32"/>
        </w:rPr>
        <w:t>机构</w:t>
      </w:r>
      <w:r>
        <w:rPr>
          <w:rFonts w:hint="eastAsia" w:ascii="仿宋_GB2312" w:hAnsi="仿宋_GB2312" w:eastAsia="仿宋_GB2312" w:cs="仿宋_GB2312"/>
          <w:color w:val="000000"/>
          <w:sz w:val="32"/>
          <w:szCs w:val="32"/>
        </w:rPr>
        <w:t>应及时告知交易中心工作人员并通过技术咨询电话联系电子保函服务支撑平台技术保障人员。</w:t>
      </w:r>
    </w:p>
    <w:p>
      <w:pPr>
        <w:jc w:val="center"/>
        <w:rPr>
          <w:rFonts w:hint="eastAsia" w:ascii="仿宋_GB2312" w:hAnsi="仿宋_GB2312" w:eastAsia="仿宋_GB2312" w:cs="仿宋_GB2312"/>
          <w:szCs w:val="21"/>
        </w:rPr>
      </w:pPr>
      <w:r>
        <w:drawing>
          <wp:inline distT="0" distB="0" distL="114300" distR="114300">
            <wp:extent cx="5167630" cy="2254885"/>
            <wp:effectExtent l="0" t="0" r="1397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167630" cy="2254885"/>
                    </a:xfrm>
                    <a:prstGeom prst="rect">
                      <a:avLst/>
                    </a:prstGeom>
                    <a:noFill/>
                    <a:ln>
                      <a:noFill/>
                    </a:ln>
                  </pic:spPr>
                </pic:pic>
              </a:graphicData>
            </a:graphic>
          </wp:inline>
        </w:drawing>
      </w:r>
    </w:p>
    <w:p>
      <w:pPr>
        <w:jc w:val="center"/>
        <w:rPr>
          <w:rFonts w:hint="eastAsia" w:ascii="仿宋_GB2312" w:hAnsi="仿宋_GB2312" w:eastAsia="仿宋_GB2312" w:cs="仿宋_GB2312"/>
          <w:szCs w:val="21"/>
        </w:rPr>
      </w:pPr>
      <w:r>
        <w:rPr>
          <w:rFonts w:hint="eastAsia" w:ascii="仿宋_GB2312" w:hAnsi="仿宋_GB2312" w:eastAsia="仿宋_GB2312" w:cs="仿宋_GB2312"/>
          <w:szCs w:val="21"/>
        </w:rPr>
        <w:t>图6</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获取信息完成后，招标代理机构可在“公布投标人”界面查看交易平台自动获取投标人缴纳保证金（现金保证金、电子保函或保单）的情况，在对保证金信息进行核对后可点击“修改”按钮可在填写原因后修改投标人保证金的缴纳情况。详见图7、图8。</w:t>
      </w:r>
    </w:p>
    <w:p>
      <w:pPr>
        <w:jc w:val="center"/>
        <w:rPr>
          <w:rFonts w:hint="eastAsia" w:ascii="仿宋_GB2312" w:hAnsi="仿宋_GB2312" w:eastAsia="仿宋_GB2312" w:cs="仿宋_GB2312"/>
          <w:szCs w:val="21"/>
        </w:rPr>
      </w:pPr>
      <w:r>
        <w:drawing>
          <wp:inline distT="0" distB="0" distL="114300" distR="114300">
            <wp:extent cx="5211445" cy="2404745"/>
            <wp:effectExtent l="0" t="0" r="8255"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11445" cy="2404745"/>
                    </a:xfrm>
                    <a:prstGeom prst="rect">
                      <a:avLst/>
                    </a:prstGeom>
                    <a:noFill/>
                    <a:ln>
                      <a:noFill/>
                    </a:ln>
                  </pic:spPr>
                </pic:pic>
              </a:graphicData>
            </a:graphic>
          </wp:inline>
        </w:drawing>
      </w:r>
    </w:p>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图7</w:t>
      </w:r>
    </w:p>
    <w:p>
      <w:pPr>
        <w:jc w:val="center"/>
        <w:rPr>
          <w:rFonts w:hint="eastAsia" w:ascii="仿宋_GB2312" w:hAnsi="仿宋_GB2312" w:eastAsia="仿宋_GB2312" w:cs="仿宋_GB2312"/>
          <w:sz w:val="24"/>
          <w:szCs w:val="32"/>
        </w:rPr>
      </w:pPr>
      <w:r>
        <w:drawing>
          <wp:inline distT="0" distB="0" distL="114300" distR="114300">
            <wp:extent cx="5247005" cy="2472055"/>
            <wp:effectExtent l="0" t="0" r="1079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stretch>
                      <a:fillRect/>
                    </a:stretch>
                  </pic:blipFill>
                  <pic:spPr>
                    <a:xfrm>
                      <a:off x="0" y="0"/>
                      <a:ext cx="5247005" cy="2472055"/>
                    </a:xfrm>
                    <a:prstGeom prst="rect">
                      <a:avLst/>
                    </a:prstGeom>
                    <a:noFill/>
                    <a:ln>
                      <a:noFill/>
                    </a:ln>
                  </pic:spPr>
                </pic:pic>
              </a:graphicData>
            </a:graphic>
          </wp:inline>
        </w:drawing>
      </w:r>
    </w:p>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图8</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招标代理机构点击“投标保证金”按钮后（详见图7），新建页面展示：投标人递交的现金保证金（与原有功能一样）和电子保函（保单）信息列表（包括保单中的项目名称、投标有效期届满之日后的有效天数、投标有效期延长后的最迟有效日期、开立日期、查看密文、明文保函或保单等）。解密和解密后的保函（保单）可进行下载查看。具体详见图9</w:t>
      </w:r>
      <w:r>
        <w:rPr>
          <w:rFonts w:hint="eastAsia" w:ascii="仿宋_GB2312" w:hAnsi="仿宋_GB2312" w:eastAsia="仿宋_GB2312" w:cs="仿宋_GB2312"/>
          <w:sz w:val="32"/>
          <w:szCs w:val="32"/>
          <w:lang w:val="en-US" w:eastAsia="zh-CN"/>
        </w:rPr>
        <w:t>-1、图9-2</w:t>
      </w:r>
      <w:r>
        <w:rPr>
          <w:rFonts w:hint="eastAsia" w:ascii="仿宋_GB2312" w:hAnsi="仿宋_GB2312" w:eastAsia="仿宋_GB2312" w:cs="仿宋_GB2312"/>
          <w:sz w:val="32"/>
          <w:szCs w:val="32"/>
        </w:rPr>
        <w:t>。</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rPr>
        <w:drawing>
          <wp:inline distT="0" distB="0" distL="114300" distR="114300">
            <wp:extent cx="5270500" cy="2858770"/>
            <wp:effectExtent l="0" t="0" r="6350" b="17780"/>
            <wp:docPr id="9" name="图片 7" descr="说明: C:\Users\Administrator\Documents\Tencent Files\439409658\Image\C2C\%_%R~](]8DIK@LEP8B0F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说明: C:\Users\Administrator\Documents\Tencent Files\439409658\Image\C2C\%_%R~](]8DIK@LEP8B0FAFA.JPG"/>
                    <pic:cNvPicPr>
                      <a:picLocks noChangeAspect="1"/>
                    </pic:cNvPicPr>
                  </pic:nvPicPr>
                  <pic:blipFill>
                    <a:blip r:embed="rId13"/>
                    <a:stretch>
                      <a:fillRect/>
                    </a:stretch>
                  </pic:blipFill>
                  <pic:spPr>
                    <a:xfrm>
                      <a:off x="0" y="0"/>
                      <a:ext cx="5270500" cy="2858770"/>
                    </a:xfrm>
                    <a:prstGeom prst="rect">
                      <a:avLst/>
                    </a:prstGeom>
                    <a:noFill/>
                    <a:ln>
                      <a:noFill/>
                    </a:ln>
                  </pic:spPr>
                </pic:pic>
              </a:graphicData>
            </a:graphic>
          </wp:inline>
        </w:drawing>
      </w:r>
    </w:p>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图9-1</w:t>
      </w:r>
    </w:p>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drawing>
          <wp:inline distT="0" distB="0" distL="114300" distR="114300">
            <wp:extent cx="5387340" cy="2769235"/>
            <wp:effectExtent l="0" t="0" r="3810" b="12065"/>
            <wp:docPr id="10" name="图片 10" descr="HQJ%P2{773_D~)}MD%M5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QJ%P2{773_D~)}MD%M5EC2"/>
                    <pic:cNvPicPr>
                      <a:picLocks noChangeAspect="1"/>
                    </pic:cNvPicPr>
                  </pic:nvPicPr>
                  <pic:blipFill>
                    <a:blip r:embed="rId14"/>
                    <a:stretch>
                      <a:fillRect/>
                    </a:stretch>
                  </pic:blipFill>
                  <pic:spPr>
                    <a:xfrm>
                      <a:off x="0" y="0"/>
                      <a:ext cx="5387340" cy="2769235"/>
                    </a:xfrm>
                    <a:prstGeom prst="rect">
                      <a:avLst/>
                    </a:prstGeom>
                    <a:noFill/>
                    <a:ln>
                      <a:noFill/>
                    </a:ln>
                  </pic:spPr>
                </pic:pic>
              </a:graphicData>
            </a:graphic>
          </wp:inline>
        </w:drawing>
      </w:r>
    </w:p>
    <w:p>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sz w:val="24"/>
          <w:szCs w:val="32"/>
        </w:rPr>
        <w:t>图9-2</w:t>
      </w:r>
    </w:p>
    <w:p>
      <w:pPr>
        <w:ind w:firstLine="0" w:firstLineChars="0"/>
        <w:outlineLvl w:val="0"/>
        <w:rPr>
          <w:rFonts w:hint="eastAsia" w:ascii="仿宋_GB2312" w:hAnsi="仿宋_GB2312" w:eastAsia="仿宋_GB2312" w:cs="仿宋_GB2312"/>
          <w:b/>
          <w:bCs/>
          <w:sz w:val="32"/>
          <w:szCs w:val="32"/>
        </w:rPr>
      </w:pPr>
      <w:bookmarkStart w:id="4" w:name="_Toc27986"/>
      <w:bookmarkStart w:id="5" w:name="_Toc25047"/>
      <w:r>
        <w:rPr>
          <w:rFonts w:hint="eastAsia" w:ascii="仿宋_GB2312" w:hAnsi="仿宋_GB2312" w:eastAsia="仿宋_GB2312" w:cs="仿宋_GB2312"/>
          <w:b/>
          <w:bCs/>
          <w:sz w:val="32"/>
          <w:szCs w:val="32"/>
        </w:rPr>
        <w:t>三、电子保函的解保（保险保单没有解保程序）</w:t>
      </w:r>
      <w:bookmarkEnd w:id="4"/>
      <w:bookmarkEnd w:id="5"/>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招标代理机构通过交易平台“电子保函解保”模块发起电子保函的解保流程，点击“新建申请”进入“电子保函解保”页面，在递交电子保函的投标人列表中勾选拟解保的单位并上传解保依据（</w:t>
      </w:r>
      <w:r>
        <w:rPr>
          <w:rFonts w:hint="eastAsia" w:ascii="仿宋_GB2312" w:hAnsi="仿宋_GB2312" w:eastAsia="仿宋_GB2312" w:cs="仿宋_GB2312"/>
          <w:b/>
          <w:color w:val="FF0000"/>
          <w:sz w:val="32"/>
          <w:szCs w:val="32"/>
        </w:rPr>
        <w:t>以各银行、担保公司的具体要求为准</w:t>
      </w:r>
      <w:r>
        <w:rPr>
          <w:rFonts w:hint="eastAsia" w:ascii="仿宋_GB2312" w:hAnsi="仿宋_GB2312" w:eastAsia="仿宋_GB2312" w:cs="仿宋_GB2312"/>
          <w:sz w:val="32"/>
          <w:szCs w:val="32"/>
        </w:rPr>
        <w:t>）的扫描件后，解保申请即发送招标人审核。招标人同意后招标代理机构向电子保函服务支撑平台发出解保请求，电子保函服务支撑平台向银行或担保公司推送解保请求。担保公司完成解保后实时通知电子保函服务支撑平台，并把解保结果推送交易平台。详见图10、图11。</w:t>
      </w:r>
    </w:p>
    <w:p>
      <w:pPr>
        <w:jc w:val="center"/>
        <w:rPr>
          <w:rFonts w:hint="eastAsia" w:ascii="仿宋_GB2312" w:hAnsi="仿宋_GB2312" w:eastAsia="仿宋_GB2312" w:cs="仿宋_GB2312"/>
          <w:sz w:val="24"/>
          <w:szCs w:val="32"/>
        </w:rPr>
      </w:pPr>
      <w:r>
        <w:rPr>
          <w:rFonts w:hint="eastAsia" w:ascii="仿宋_GB2312" w:hAnsi="仿宋_GB2312" w:eastAsia="仿宋_GB2312" w:cs="仿宋_GB2312"/>
        </w:rPr>
        <w:drawing>
          <wp:inline distT="0" distB="0" distL="114300" distR="114300">
            <wp:extent cx="5266055" cy="2715895"/>
            <wp:effectExtent l="0" t="0" r="10795" b="8255"/>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15"/>
                    <a:stretch>
                      <a:fillRect/>
                    </a:stretch>
                  </pic:blipFill>
                  <pic:spPr>
                    <a:xfrm>
                      <a:off x="0" y="0"/>
                      <a:ext cx="5266055" cy="2715895"/>
                    </a:xfrm>
                    <a:prstGeom prst="rect">
                      <a:avLst/>
                    </a:prstGeom>
                    <a:noFill/>
                    <a:ln>
                      <a:noFill/>
                    </a:ln>
                  </pic:spPr>
                </pic:pic>
              </a:graphicData>
            </a:graphic>
          </wp:inline>
        </w:drawing>
      </w:r>
    </w:p>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图10</w:t>
      </w:r>
    </w:p>
    <w:p>
      <w:pPr>
        <w:jc w:val="center"/>
        <w:rPr>
          <w:rFonts w:hint="eastAsia" w:ascii="仿宋_GB2312" w:hAnsi="仿宋_GB2312" w:eastAsia="仿宋_GB2312" w:cs="仿宋_GB2312"/>
          <w:sz w:val="24"/>
          <w:szCs w:val="32"/>
        </w:rPr>
      </w:pPr>
      <w:r>
        <w:drawing>
          <wp:inline distT="0" distB="0" distL="114300" distR="114300">
            <wp:extent cx="5174615" cy="3823970"/>
            <wp:effectExtent l="0" t="0" r="698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174615" cy="3823970"/>
                    </a:xfrm>
                    <a:prstGeom prst="rect">
                      <a:avLst/>
                    </a:prstGeom>
                    <a:noFill/>
                    <a:ln>
                      <a:noFill/>
                    </a:ln>
                  </pic:spPr>
                </pic:pic>
              </a:graphicData>
            </a:graphic>
          </wp:inline>
        </w:drawing>
      </w:r>
    </w:p>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图11</w:t>
      </w:r>
    </w:p>
    <w:p>
      <w:pPr>
        <w:ind w:firstLine="0" w:firstLineChars="0"/>
        <w:outlineLvl w:val="0"/>
        <w:rPr>
          <w:rFonts w:hint="eastAsia" w:ascii="仿宋_GB2312" w:hAnsi="仿宋_GB2312" w:eastAsia="仿宋_GB2312" w:cs="仿宋_GB2312"/>
          <w:b/>
          <w:bCs/>
          <w:sz w:val="32"/>
          <w:szCs w:val="32"/>
        </w:rPr>
      </w:pPr>
      <w:bookmarkStart w:id="6" w:name="_Toc14029"/>
      <w:bookmarkStart w:id="7" w:name="_Toc19622"/>
      <w:r>
        <w:rPr>
          <w:rFonts w:hint="eastAsia" w:ascii="仿宋_GB2312" w:hAnsi="仿宋_GB2312" w:eastAsia="仿宋_GB2312" w:cs="仿宋_GB2312"/>
          <w:b/>
          <w:bCs/>
          <w:sz w:val="32"/>
          <w:szCs w:val="32"/>
        </w:rPr>
        <w:t>四、电子保函（保单）的索赔</w:t>
      </w:r>
      <w:bookmarkEnd w:id="6"/>
      <w:bookmarkEnd w:id="7"/>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标代理机构通过交易平台“电子保函索赔”模块发起电子保函（保单）的索赔流程，点击“新建索赔申请”进入“电子保函（保单）索赔”页面，在递交电子保函（保单）的投标人列表中勾选拟索赔的单位并上传索赔依据的扫描件（</w:t>
      </w:r>
      <w:r>
        <w:rPr>
          <w:rFonts w:hint="eastAsia" w:ascii="仿宋_GB2312" w:hAnsi="仿宋_GB2312" w:eastAsia="仿宋_GB2312" w:cs="仿宋_GB2312"/>
          <w:b/>
          <w:color w:val="FF0000"/>
          <w:sz w:val="32"/>
          <w:szCs w:val="32"/>
        </w:rPr>
        <w:t>以各保证机构的具体要求为准</w:t>
      </w:r>
      <w:r>
        <w:rPr>
          <w:rFonts w:hint="eastAsia" w:ascii="仿宋_GB2312" w:hAnsi="仿宋_GB2312" w:eastAsia="仿宋_GB2312" w:cs="仿宋_GB2312"/>
          <w:sz w:val="32"/>
          <w:szCs w:val="32"/>
        </w:rPr>
        <w:t>）后，索赔申请即发送招标人审核。招标人同意后招标代理机构向电子保函服务支撑平台发出索赔请求，电子保函服务支撑平台向保证机构推送索赔请求。保证机构完成索赔后实时通知电子保函服务支撑平台平台，并把索赔结果推送交易平台。详见图12、图13。</w:t>
      </w:r>
    </w:p>
    <w:p>
      <w:pPr>
        <w:jc w:val="center"/>
        <w:rPr>
          <w:rFonts w:hint="eastAsia" w:ascii="仿宋_GB2312" w:hAnsi="仿宋_GB2312" w:eastAsia="仿宋_GB2312" w:cs="仿宋_GB2312"/>
          <w:szCs w:val="21"/>
        </w:rPr>
      </w:pPr>
      <w:r>
        <w:rPr>
          <w:rFonts w:hint="eastAsia" w:ascii="仿宋_GB2312" w:hAnsi="仿宋_GB2312" w:eastAsia="仿宋_GB2312" w:cs="仿宋_GB2312"/>
        </w:rPr>
        <w:drawing>
          <wp:inline distT="0" distB="0" distL="114300" distR="114300">
            <wp:extent cx="5270500" cy="2435860"/>
            <wp:effectExtent l="0" t="0" r="6350" b="2540"/>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17"/>
                    <a:stretch>
                      <a:fillRect/>
                    </a:stretch>
                  </pic:blipFill>
                  <pic:spPr>
                    <a:xfrm>
                      <a:off x="0" y="0"/>
                      <a:ext cx="5270500" cy="2435860"/>
                    </a:xfrm>
                    <a:prstGeom prst="rect">
                      <a:avLst/>
                    </a:prstGeom>
                    <a:noFill/>
                    <a:ln>
                      <a:noFill/>
                    </a:ln>
                  </pic:spPr>
                </pic:pic>
              </a:graphicData>
            </a:graphic>
          </wp:inline>
        </w:drawing>
      </w:r>
    </w:p>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图12</w:t>
      </w:r>
    </w:p>
    <w:p>
      <w:pPr>
        <w:jc w:val="center"/>
      </w:pPr>
    </w:p>
    <w:p>
      <w:pPr>
        <w:jc w:val="center"/>
        <w:rPr>
          <w:rFonts w:hint="eastAsia" w:ascii="仿宋_GB2312" w:hAnsi="仿宋_GB2312" w:eastAsia="仿宋_GB2312" w:cs="仿宋_GB2312"/>
          <w:sz w:val="24"/>
          <w:szCs w:val="32"/>
        </w:rPr>
      </w:pPr>
      <w:r>
        <w:drawing>
          <wp:inline distT="0" distB="0" distL="114300" distR="114300">
            <wp:extent cx="5278120" cy="4084955"/>
            <wp:effectExtent l="0" t="0" r="17780"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rcRect b="3835"/>
                    <a:stretch>
                      <a:fillRect/>
                    </a:stretch>
                  </pic:blipFill>
                  <pic:spPr>
                    <a:xfrm>
                      <a:off x="0" y="0"/>
                      <a:ext cx="5278120" cy="4084955"/>
                    </a:xfrm>
                    <a:prstGeom prst="rect">
                      <a:avLst/>
                    </a:prstGeom>
                    <a:noFill/>
                    <a:ln>
                      <a:noFill/>
                    </a:ln>
                  </pic:spPr>
                </pic:pic>
              </a:graphicData>
            </a:graphic>
          </wp:inline>
        </w:drawing>
      </w:r>
      <w:bookmarkStart w:id="8" w:name="_GoBack"/>
      <w:bookmarkEnd w:id="8"/>
    </w:p>
    <w:p>
      <w:pPr>
        <w:jc w:val="cente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图13</w:t>
      </w:r>
    </w:p>
    <w:p>
      <w:pPr>
        <w:ind w:right="304" w:rightChars="145" w:firstLine="0" w:firstLineChars="0"/>
        <w:outlineLvl w:val="9"/>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招标人自行招标的，可参照本手册进行操作。</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3</w:t>
    </w:r>
    <w: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5C9F34"/>
    <w:multiLevelType w:val="singleLevel"/>
    <w:tmpl w:val="475C9F34"/>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zcyZDVkMWM2MTRjYTUxMzBiMzNjNTZmNDQ5NDAifQ=="/>
  </w:docVars>
  <w:rsids>
    <w:rsidRoot w:val="00570DE3"/>
    <w:rsid w:val="0000478D"/>
    <w:rsid w:val="00065173"/>
    <w:rsid w:val="00092448"/>
    <w:rsid w:val="000A753C"/>
    <w:rsid w:val="000D0C79"/>
    <w:rsid w:val="000E7202"/>
    <w:rsid w:val="00110832"/>
    <w:rsid w:val="00125EB0"/>
    <w:rsid w:val="0015109F"/>
    <w:rsid w:val="001A0254"/>
    <w:rsid w:val="001E048D"/>
    <w:rsid w:val="002038AC"/>
    <w:rsid w:val="002E7FF8"/>
    <w:rsid w:val="00353CDD"/>
    <w:rsid w:val="00356CAA"/>
    <w:rsid w:val="00361B6C"/>
    <w:rsid w:val="00376D2D"/>
    <w:rsid w:val="003813C4"/>
    <w:rsid w:val="003C155A"/>
    <w:rsid w:val="003D0C01"/>
    <w:rsid w:val="0042046D"/>
    <w:rsid w:val="004442A7"/>
    <w:rsid w:val="004A2660"/>
    <w:rsid w:val="004F6F9F"/>
    <w:rsid w:val="00515A21"/>
    <w:rsid w:val="00541B4B"/>
    <w:rsid w:val="00562914"/>
    <w:rsid w:val="00565B1A"/>
    <w:rsid w:val="00570DE3"/>
    <w:rsid w:val="005A7A9C"/>
    <w:rsid w:val="00637ED4"/>
    <w:rsid w:val="00671D5E"/>
    <w:rsid w:val="006931BA"/>
    <w:rsid w:val="006A101C"/>
    <w:rsid w:val="006A2430"/>
    <w:rsid w:val="006C50FD"/>
    <w:rsid w:val="006D6FA8"/>
    <w:rsid w:val="006F63CA"/>
    <w:rsid w:val="00751DDC"/>
    <w:rsid w:val="00764E4B"/>
    <w:rsid w:val="00784212"/>
    <w:rsid w:val="00793766"/>
    <w:rsid w:val="007C3A5C"/>
    <w:rsid w:val="007C4BDB"/>
    <w:rsid w:val="007F6EFB"/>
    <w:rsid w:val="00823651"/>
    <w:rsid w:val="00833D38"/>
    <w:rsid w:val="008D1C5F"/>
    <w:rsid w:val="00951803"/>
    <w:rsid w:val="0095387C"/>
    <w:rsid w:val="00971DB3"/>
    <w:rsid w:val="0097561B"/>
    <w:rsid w:val="009B2ADA"/>
    <w:rsid w:val="009E162F"/>
    <w:rsid w:val="00A216F6"/>
    <w:rsid w:val="00A43403"/>
    <w:rsid w:val="00A62E1B"/>
    <w:rsid w:val="00A677DB"/>
    <w:rsid w:val="00B1490C"/>
    <w:rsid w:val="00B85D9E"/>
    <w:rsid w:val="00B97B55"/>
    <w:rsid w:val="00C20AE3"/>
    <w:rsid w:val="00C72C44"/>
    <w:rsid w:val="00CC35BC"/>
    <w:rsid w:val="00CE780B"/>
    <w:rsid w:val="00D60112"/>
    <w:rsid w:val="00D94076"/>
    <w:rsid w:val="00DD71EF"/>
    <w:rsid w:val="00E01E66"/>
    <w:rsid w:val="00E64C70"/>
    <w:rsid w:val="00E77FF9"/>
    <w:rsid w:val="00E80BC8"/>
    <w:rsid w:val="00E964AE"/>
    <w:rsid w:val="00EF55ED"/>
    <w:rsid w:val="00F51E08"/>
    <w:rsid w:val="00FB0B28"/>
    <w:rsid w:val="00FD24FE"/>
    <w:rsid w:val="03EC3B32"/>
    <w:rsid w:val="07261D4C"/>
    <w:rsid w:val="10D7512C"/>
    <w:rsid w:val="16CB2DDB"/>
    <w:rsid w:val="1C703ADD"/>
    <w:rsid w:val="1D361FFC"/>
    <w:rsid w:val="1F032F70"/>
    <w:rsid w:val="1F071BAD"/>
    <w:rsid w:val="20613333"/>
    <w:rsid w:val="26A370E2"/>
    <w:rsid w:val="279674D1"/>
    <w:rsid w:val="3D46382F"/>
    <w:rsid w:val="42D41FD5"/>
    <w:rsid w:val="4491133F"/>
    <w:rsid w:val="49E27F58"/>
    <w:rsid w:val="57CA679B"/>
    <w:rsid w:val="5B417F55"/>
    <w:rsid w:val="5B553B36"/>
    <w:rsid w:val="60B71846"/>
    <w:rsid w:val="7052492B"/>
    <w:rsid w:val="75D26F8A"/>
    <w:rsid w:val="78B207B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annotation text"/>
    <w:basedOn w:val="1"/>
    <w:unhideWhenUsed/>
    <w:qFormat/>
    <w:uiPriority w:val="99"/>
    <w:pPr>
      <w:jc w:val="left"/>
    </w:pPr>
  </w:style>
  <w:style w:type="paragraph" w:styleId="3">
    <w:name w:val="Balloon Text"/>
    <w:basedOn w:val="1"/>
    <w:link w:val="9"/>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semiHidden/>
    <w:unhideWhenUsed/>
    <w:uiPriority w:val="39"/>
  </w:style>
  <w:style w:type="character" w:customStyle="1" w:styleId="9">
    <w:name w:val="批注框文本 Char"/>
    <w:link w:val="3"/>
    <w:semiHidden/>
    <w:qFormat/>
    <w:uiPriority w:val="99"/>
    <w:rPr>
      <w:sz w:val="18"/>
      <w:szCs w:val="18"/>
    </w:rPr>
  </w:style>
  <w:style w:type="character" w:customStyle="1" w:styleId="10">
    <w:name w:val="页脚 Char"/>
    <w:link w:val="4"/>
    <w:qFormat/>
    <w:uiPriority w:val="99"/>
    <w:rPr>
      <w:kern w:val="2"/>
      <w:sz w:val="18"/>
      <w:szCs w:val="18"/>
    </w:rPr>
  </w:style>
  <w:style w:type="character" w:customStyle="1" w:styleId="11">
    <w:name w:val="页眉 Char"/>
    <w:link w:val="5"/>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 R C</Company>
  <Pages>11</Pages>
  <Words>308</Words>
  <Characters>1760</Characters>
  <Lines>14</Lines>
  <Paragraphs>4</Paragraphs>
  <TotalTime>0</TotalTime>
  <ScaleCrop>false</ScaleCrop>
  <LinksUpToDate>false</LinksUpToDate>
  <CharactersWithSpaces>2064</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2021-09-06T02:05:00Z</dcterms:created>
  <dc:creator>Administrator</dc:creator>
  <cp:lastModifiedBy>岑炜玲</cp:lastModifiedBy>
  <dcterms:modified xsi:type="dcterms:W3CDTF">2023-11-15T02:50:03Z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523B5CDD98BB408AB3852CEC772EECD1</vt:lpwstr>
  </property>
</Properties>
</file>