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kern w:val="2"/>
          <w:sz w:val="32"/>
          <w:szCs w:val="32"/>
          <w:lang w:val="en-US" w:eastAsia="zh-CN"/>
        </w:rPr>
      </w:pPr>
      <w:r>
        <w:rPr>
          <w:rFonts w:hint="eastAsia" w:ascii="黑体" w:hAnsi="黑体" w:eastAsia="黑体" w:cs="黑体"/>
          <w:kern w:val="2"/>
          <w:sz w:val="32"/>
          <w:szCs w:val="32"/>
          <w:lang w:eastAsia="zh-CN"/>
        </w:rPr>
        <w:t>附件</w:t>
      </w:r>
      <w:r>
        <w:rPr>
          <w:rFonts w:hint="eastAsia" w:ascii="黑体" w:hAnsi="黑体" w:eastAsia="黑体" w:cs="黑体"/>
          <w:kern w:val="2"/>
          <w:sz w:val="32"/>
          <w:szCs w:val="32"/>
          <w:lang w:val="en-US" w:eastAsia="zh-CN"/>
        </w:rPr>
        <w:t>3</w:t>
      </w:r>
    </w:p>
    <w:p>
      <w:pPr>
        <w:jc w:val="center"/>
        <w:rPr>
          <w:rFonts w:hint="eastAsia" w:ascii="Times New Roman" w:hAnsi="Times New Roman" w:eastAsia="方正小标宋简体" w:cs="Times New Roman"/>
          <w:kern w:val="2"/>
          <w:sz w:val="44"/>
          <w:szCs w:val="44"/>
        </w:rPr>
      </w:pPr>
    </w:p>
    <w:p>
      <w:pPr>
        <w:jc w:val="center"/>
        <w:rPr>
          <w:rFonts w:hint="eastAsia" w:ascii="Times New Roman" w:hAnsi="Times New Roman" w:eastAsia="方正小标宋简体" w:cs="Times New Roman"/>
          <w:kern w:val="2"/>
          <w:sz w:val="44"/>
          <w:szCs w:val="44"/>
        </w:rPr>
      </w:pPr>
    </w:p>
    <w:p>
      <w:pPr>
        <w:jc w:val="center"/>
        <w:rPr>
          <w:rFonts w:hint="eastAsia" w:ascii="Times New Roman" w:hAnsi="Times New Roman" w:eastAsia="方正小标宋简体" w:cs="Times New Roman"/>
          <w:kern w:val="2"/>
          <w:sz w:val="44"/>
          <w:szCs w:val="44"/>
          <w:lang w:eastAsia="zh-CN"/>
        </w:rPr>
      </w:pPr>
      <w:r>
        <w:rPr>
          <w:rFonts w:hint="eastAsia" w:ascii="Times New Roman" w:hAnsi="Times New Roman" w:eastAsia="方正小标宋简体" w:cs="Times New Roman"/>
          <w:kern w:val="2"/>
          <w:sz w:val="44"/>
          <w:szCs w:val="44"/>
        </w:rPr>
        <w:t>佛山</w:t>
      </w:r>
      <w:r>
        <w:rPr>
          <w:rFonts w:hint="eastAsia" w:ascii="Times New Roman" w:hAnsi="Times New Roman" w:eastAsia="方正小标宋简体" w:cs="Times New Roman"/>
          <w:kern w:val="2"/>
          <w:sz w:val="44"/>
          <w:szCs w:val="44"/>
          <w:lang w:eastAsia="zh-CN"/>
        </w:rPr>
        <w:t>机场建设工作办公室</w:t>
      </w:r>
    </w:p>
    <w:p>
      <w:pPr>
        <w:jc w:val="center"/>
        <w:rPr>
          <w:rFonts w:ascii="Times New Roman" w:hAnsi="Times New Roman" w:cs="Times New Roman"/>
          <w:sz w:val="44"/>
          <w:szCs w:val="44"/>
        </w:rPr>
      </w:pPr>
      <w:r>
        <w:rPr>
          <w:rFonts w:hint="eastAsia" w:ascii="Times New Roman" w:hAnsi="Times New Roman" w:eastAsia="方正小标宋简体" w:cs="Times New Roman"/>
          <w:kern w:val="2"/>
          <w:sz w:val="44"/>
          <w:szCs w:val="44"/>
          <w:lang w:eastAsia="zh-CN"/>
        </w:rPr>
        <w:t>2022</w:t>
      </w:r>
      <w:r>
        <w:rPr>
          <w:rFonts w:hint="eastAsia" w:ascii="Times New Roman" w:hAnsi="Times New Roman" w:eastAsia="方正小标宋简体" w:cs="Times New Roman"/>
          <w:kern w:val="2"/>
          <w:sz w:val="44"/>
          <w:szCs w:val="44"/>
        </w:rPr>
        <w:t>年度</w:t>
      </w:r>
      <w:r>
        <w:rPr>
          <w:rFonts w:hint="eastAsia" w:ascii="Times New Roman" w:hAnsi="Times New Roman" w:eastAsia="方正小标宋简体" w:cs="Times New Roman"/>
          <w:kern w:val="2"/>
          <w:sz w:val="44"/>
          <w:szCs w:val="44"/>
          <w:lang w:eastAsia="zh-CN"/>
        </w:rPr>
        <w:t>部门</w:t>
      </w:r>
      <w:r>
        <w:rPr>
          <w:rFonts w:hint="eastAsia" w:ascii="Times New Roman" w:hAnsi="Times New Roman" w:eastAsia="方正小标宋简体" w:cs="Times New Roman"/>
          <w:kern w:val="2"/>
          <w:sz w:val="44"/>
          <w:szCs w:val="44"/>
        </w:rPr>
        <w:t>整体支出绩效自评报告</w:t>
      </w:r>
    </w:p>
    <w:p>
      <w:pPr>
        <w:ind w:left="0" w:leftChars="0" w:firstLine="0" w:firstLineChars="0"/>
        <w:jc w:val="center"/>
        <w:rPr>
          <w:rFonts w:ascii="Times New Roman"/>
          <w:sz w:val="30"/>
          <w:szCs w:val="30"/>
        </w:rPr>
      </w:pPr>
    </w:p>
    <w:p>
      <w:pPr>
        <w:ind w:firstLine="450" w:firstLineChars="150"/>
        <w:rPr>
          <w:rFonts w:ascii="Times New Roman"/>
          <w:sz w:val="30"/>
          <w:szCs w:val="30"/>
        </w:rPr>
      </w:pPr>
    </w:p>
    <w:p>
      <w:pPr>
        <w:ind w:firstLine="450" w:firstLineChars="150"/>
        <w:rPr>
          <w:rFonts w:ascii="Times New Roman"/>
          <w:sz w:val="30"/>
          <w:szCs w:val="30"/>
        </w:rPr>
      </w:pPr>
    </w:p>
    <w:p>
      <w:pPr>
        <w:ind w:firstLine="450" w:firstLineChars="150"/>
        <w:rPr>
          <w:rFonts w:ascii="Times New Roman"/>
          <w:sz w:val="30"/>
          <w:szCs w:val="30"/>
        </w:rPr>
      </w:pPr>
    </w:p>
    <w:p>
      <w:pPr>
        <w:ind w:firstLine="450" w:firstLineChars="150"/>
        <w:rPr>
          <w:rFonts w:ascii="Times New Roman"/>
          <w:sz w:val="30"/>
          <w:szCs w:val="30"/>
        </w:rPr>
      </w:pPr>
    </w:p>
    <w:p>
      <w:pPr>
        <w:rPr>
          <w:rFonts w:ascii="Times New Roman"/>
          <w:sz w:val="30"/>
          <w:szCs w:val="30"/>
        </w:rPr>
      </w:pPr>
    </w:p>
    <w:p>
      <w:pPr>
        <w:ind w:firstLine="450" w:firstLineChars="150"/>
        <w:rPr>
          <w:rFonts w:ascii="Times New Roman"/>
          <w:sz w:val="30"/>
          <w:szCs w:val="30"/>
        </w:rPr>
      </w:pPr>
    </w:p>
    <w:p>
      <w:pPr>
        <w:ind w:firstLine="450" w:firstLineChars="150"/>
        <w:rPr>
          <w:rFonts w:ascii="Times New Roman"/>
          <w:sz w:val="30"/>
          <w:szCs w:val="30"/>
        </w:rPr>
      </w:pPr>
    </w:p>
    <w:p>
      <w:pPr>
        <w:rPr>
          <w:rFonts w:ascii="Times New Roman"/>
          <w:sz w:val="30"/>
          <w:szCs w:val="30"/>
        </w:rPr>
      </w:pPr>
    </w:p>
    <w:p>
      <w:pPr>
        <w:rPr>
          <w:rFonts w:ascii="Times New Roman"/>
          <w:szCs w:val="32"/>
        </w:rPr>
      </w:pPr>
      <w:r>
        <w:rPr>
          <w:rFonts w:ascii="Times New Roman" w:hAnsi="Times New Roman" w:eastAsia="仿宋_GB2312"/>
          <w:kern w:val="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ascii="Times New Roman"/>
          <w:szCs w:val="32"/>
        </w:rPr>
      </w:pP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部门名称：佛山</w:t>
      </w:r>
      <w:r>
        <w:rPr>
          <w:rFonts w:hint="eastAsia" w:ascii="Times New Roman" w:hAnsi="Times New Roman" w:eastAsia="仿宋_GB2312"/>
          <w:kern w:val="2"/>
          <w:sz w:val="32"/>
          <w:szCs w:val="32"/>
          <w:lang w:eastAsia="zh-CN"/>
        </w:rPr>
        <w:t>机场建设工作办公室</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Times New Roman" w:hAnsi="Times New Roman" w:eastAsia="仿宋_GB2312"/>
          <w:kern w:val="2"/>
          <w:sz w:val="32"/>
          <w:szCs w:val="32"/>
          <w:lang w:eastAsia="zh-CN"/>
        </w:rPr>
      </w:pP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lang w:eastAsia="zh-CN"/>
        </w:rPr>
        <w:t>部门负责</w:t>
      </w:r>
      <w:r>
        <w:rPr>
          <w:rFonts w:hint="eastAsia" w:ascii="Times New Roman" w:hAnsi="Times New Roman" w:eastAsia="仿宋_GB2312"/>
          <w:kern w:val="2"/>
          <w:sz w:val="32"/>
          <w:szCs w:val="32"/>
        </w:rPr>
        <w:t>人：</w:t>
      </w:r>
      <w:r>
        <w:rPr>
          <w:rFonts w:hint="eastAsia" w:ascii="Times New Roman" w:hAnsi="Times New Roman" w:eastAsia="仿宋_GB2312"/>
          <w:kern w:val="2"/>
          <w:sz w:val="32"/>
          <w:szCs w:val="32"/>
          <w:lang w:eastAsia="zh-CN"/>
        </w:rPr>
        <w:t>高荣堂</w:t>
      </w:r>
    </w:p>
    <w:p>
      <w:pPr>
        <w:keepNext w:val="0"/>
        <w:keepLines w:val="0"/>
        <w:pageBreakBefore w:val="0"/>
        <w:widowControl w:val="0"/>
        <w:kinsoku/>
        <w:wordWrap/>
        <w:overflowPunct/>
        <w:topLinePunct w:val="0"/>
        <w:autoSpaceDE/>
        <w:autoSpaceDN/>
        <w:bidi w:val="0"/>
        <w:adjustRightInd/>
        <w:snapToGrid w:val="0"/>
        <w:spacing w:line="360" w:lineRule="auto"/>
        <w:ind w:firstLine="1600" w:firstLineChars="500"/>
        <w:textAlignment w:val="auto"/>
        <w:outlineLvl w:val="9"/>
        <w:rPr>
          <w:rFonts w:hint="eastAsia" w:ascii="Times New Roman" w:eastAsia="仿宋_GB2312"/>
          <w:szCs w:val="32"/>
          <w:lang w:eastAsia="zh-CN"/>
        </w:rPr>
      </w:pPr>
      <w:r>
        <w:rPr>
          <w:rFonts w:hint="eastAsia" w:ascii="Times New Roman" w:hAnsi="Times New Roman" w:eastAsia="仿宋_GB2312"/>
          <w:kern w:val="2"/>
          <w:sz w:val="32"/>
          <w:szCs w:val="32"/>
        </w:rPr>
        <w:t>填报人：</w:t>
      </w:r>
      <w:r>
        <w:rPr>
          <w:rFonts w:hint="eastAsia" w:ascii="Times New Roman" w:hAnsi="Times New Roman" w:eastAsia="仿宋_GB2312"/>
          <w:kern w:val="2"/>
          <w:sz w:val="32"/>
          <w:szCs w:val="32"/>
          <w:lang w:eastAsia="zh-CN"/>
        </w:rPr>
        <w:t>徐东岳</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ascii="Times New Roman"/>
          <w:szCs w:val="32"/>
        </w:rPr>
      </w:pP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联系电话：</w:t>
      </w:r>
      <w:r>
        <w:rPr>
          <w:rFonts w:hint="eastAsia" w:ascii="Times New Roman" w:hAnsi="Times New Roman" w:eastAsia="仿宋_GB2312"/>
          <w:kern w:val="2"/>
          <w:sz w:val="32"/>
          <w:szCs w:val="32"/>
          <w:lang w:val="en-US" w:eastAsia="zh-CN"/>
        </w:rPr>
        <w:t>83139176</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ascii="Times New Roman"/>
          <w:szCs w:val="32"/>
        </w:rPr>
      </w:pP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填报日期：</w:t>
      </w:r>
      <w:r>
        <w:rPr>
          <w:rFonts w:hint="eastAsia" w:ascii="Times New Roman" w:hAnsi="Times New Roman" w:eastAsia="仿宋_GB2312"/>
          <w:kern w:val="2"/>
          <w:sz w:val="32"/>
          <w:szCs w:val="32"/>
          <w:lang w:eastAsia="zh-CN"/>
        </w:rPr>
        <w:t>202</w:t>
      </w:r>
      <w:r>
        <w:rPr>
          <w:rFonts w:hint="eastAsia" w:ascii="Times New Roman" w:hAnsi="Times New Roman" w:eastAsia="仿宋_GB2312"/>
          <w:kern w:val="2"/>
          <w:sz w:val="32"/>
          <w:szCs w:val="32"/>
          <w:lang w:val="en-US" w:eastAsia="zh-CN"/>
        </w:rPr>
        <w:t>3</w:t>
      </w:r>
      <w:r>
        <w:rPr>
          <w:rFonts w:hint="eastAsia" w:ascii="Times New Roman" w:hAnsi="Times New Roman" w:eastAsia="仿宋_GB2312"/>
          <w:kern w:val="2"/>
          <w:sz w:val="32"/>
          <w:szCs w:val="32"/>
          <w:lang w:eastAsia="zh-CN"/>
        </w:rPr>
        <w:t>年</w:t>
      </w:r>
      <w:r>
        <w:rPr>
          <w:rFonts w:hint="eastAsia" w:ascii="Times New Roman" w:hAnsi="Times New Roman" w:eastAsia="仿宋_GB2312"/>
          <w:kern w:val="2"/>
          <w:sz w:val="32"/>
          <w:szCs w:val="32"/>
          <w:lang w:val="en-US" w:eastAsia="zh-CN"/>
        </w:rPr>
        <w:t xml:space="preserve"> 8 </w:t>
      </w:r>
      <w:r>
        <w:rPr>
          <w:rFonts w:hint="eastAsia" w:ascii="Times New Roman" w:hAnsi="Times New Roman" w:eastAsia="仿宋_GB2312"/>
          <w:kern w:val="2"/>
          <w:sz w:val="32"/>
          <w:szCs w:val="32"/>
          <w:lang w:eastAsia="zh-CN"/>
        </w:rPr>
        <w:t>月</w:t>
      </w:r>
    </w:p>
    <w:p>
      <w:pPr>
        <w:snapToGrid w:val="0"/>
        <w:rPr>
          <w:rFonts w:ascii="Times New Roman"/>
          <w:szCs w:val="32"/>
        </w:rPr>
      </w:pPr>
    </w:p>
    <w:p>
      <w:pPr>
        <w:pStyle w:val="6"/>
        <w:widowControl/>
        <w:spacing w:before="0" w:beforeAutospacing="0" w:after="0" w:afterAutospacing="0" w:line="360" w:lineRule="auto"/>
        <w:ind w:firstLine="600"/>
        <w:jc w:val="center"/>
        <w:rPr>
          <w:rFonts w:ascii="Times New Roman" w:hAnsi="Times New Roman" w:eastAsia="仿宋_GB2312" w:cs="Times New Roman"/>
          <w:kern w:val="2"/>
          <w:sz w:val="32"/>
          <w:szCs w:val="32"/>
        </w:rPr>
      </w:pPr>
    </w:p>
    <w:p>
      <w:pPr>
        <w:snapToGrid w:val="0"/>
        <w:ind w:firstLine="640" w:firstLineChars="200"/>
        <w:rPr>
          <w:rFonts w:hint="eastAsia" w:ascii="Times New Roman" w:hAnsi="Times New Roman" w:eastAsia="黑体" w:cs="Times New Roman"/>
          <w:bCs/>
          <w:kern w:val="2"/>
          <w:sz w:val="32"/>
          <w:szCs w:val="32"/>
        </w:rPr>
        <w:sectPr>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left="0" w:leftChars="0" w:firstLine="640" w:firstLineChars="200"/>
        <w:textAlignment w:val="auto"/>
        <w:outlineLvl w:val="9"/>
        <w:rPr>
          <w:rFonts w:hint="eastAsia" w:ascii="楷体" w:hAnsi="楷体" w:eastAsia="楷体" w:cs="楷体"/>
          <w:b/>
          <w:bCs/>
          <w:kern w:val="2"/>
          <w:sz w:val="32"/>
          <w:szCs w:val="32"/>
          <w:lang w:val="en-US" w:eastAsia="zh-CN" w:bidi="ar-SA"/>
        </w:rPr>
      </w:pPr>
      <w:r>
        <w:rPr>
          <w:rFonts w:hint="eastAsia" w:ascii="Times New Roman" w:hAnsi="Times New Roman" w:eastAsia="黑体" w:cs="Times New Roman"/>
          <w:bCs/>
          <w:kern w:val="2"/>
          <w:sz w:val="32"/>
          <w:szCs w:val="32"/>
          <w:lang w:eastAsia="zh-CN"/>
        </w:rPr>
        <w:t>部门</w:t>
      </w:r>
      <w:r>
        <w:rPr>
          <w:rFonts w:hint="eastAsia" w:ascii="Times New Roman" w:hAnsi="Times New Roman" w:eastAsia="黑体" w:cs="Times New Roman"/>
          <w:bCs/>
          <w:kern w:val="2"/>
          <w:sz w:val="32"/>
          <w:szCs w:val="32"/>
        </w:rPr>
        <w:t>基本情况</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ascii="宋体" w:hAnsi="宋体" w:eastAsia="楷体" w:cs="楷体"/>
          <w:kern w:val="2"/>
          <w:sz w:val="32"/>
          <w:szCs w:val="32"/>
          <w:lang w:val="en-US" w:eastAsia="zh-CN" w:bidi="ar-SA"/>
        </w:rPr>
      </w:pPr>
      <w:r>
        <w:rPr>
          <w:rFonts w:hint="eastAsia" w:ascii="宋体" w:hAnsi="宋体" w:eastAsia="楷体" w:cs="楷体"/>
          <w:kern w:val="2"/>
          <w:sz w:val="32"/>
          <w:szCs w:val="32"/>
          <w:lang w:val="en-US" w:eastAsia="zh-CN" w:bidi="ar-SA"/>
        </w:rPr>
        <w:t>（一）部门职能</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负责统筹推进珠三角枢纽（广州新）机场建设及相关配套设施项目建设，承担佛山机场建设工作领导小组和珠三角枢纽（广州新）机场工程建设指挥部日常工作，以及履行佛山市机场建设开发有限公司出资人职责，承办市政府交办的其他事项。</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ascii="宋体" w:hAnsi="宋体" w:eastAsia="楷体" w:cs="楷体"/>
          <w:kern w:val="2"/>
          <w:sz w:val="32"/>
          <w:szCs w:val="32"/>
          <w:lang w:val="en-US" w:eastAsia="zh-CN" w:bidi="ar-SA"/>
        </w:rPr>
      </w:pPr>
      <w:r>
        <w:rPr>
          <w:rFonts w:hint="eastAsia" w:ascii="宋体" w:hAnsi="宋体" w:eastAsia="楷体" w:cs="楷体"/>
          <w:kern w:val="2"/>
          <w:sz w:val="32"/>
          <w:szCs w:val="32"/>
          <w:lang w:val="en-US" w:eastAsia="zh-CN" w:bidi="ar-SA"/>
        </w:rPr>
        <w:t>（二）机构设置</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lang w:val="en-US" w:eastAsia="zh-CN"/>
        </w:rPr>
      </w:pPr>
      <w:r>
        <w:rPr>
          <w:rFonts w:hint="eastAsia" w:ascii="宋体" w:hAnsi="宋体" w:eastAsia="仿宋_GB2312" w:cs="Times New Roman"/>
          <w:kern w:val="2"/>
          <w:sz w:val="32"/>
          <w:szCs w:val="32"/>
          <w:lang w:val="en-US" w:eastAsia="zh-CN" w:bidi="ar-SA"/>
        </w:rPr>
        <w:t>佛山机场建设工作办公室目前为机关（临时机构），现设有6个内设科室，分别为综合部、协调联络部、建设技术部、用地保障部、配套设施部、财务部。</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ascii="宋体" w:hAnsi="宋体" w:eastAsia="楷体" w:cs="楷体"/>
          <w:kern w:val="2"/>
          <w:sz w:val="32"/>
          <w:szCs w:val="32"/>
          <w:highlight w:val="none"/>
          <w:lang w:val="en-US" w:eastAsia="zh-CN" w:bidi="ar-SA"/>
        </w:rPr>
      </w:pPr>
      <w:r>
        <w:rPr>
          <w:rFonts w:hint="eastAsia" w:ascii="宋体" w:hAnsi="宋体" w:eastAsia="楷体" w:cs="楷体"/>
          <w:kern w:val="2"/>
          <w:sz w:val="32"/>
          <w:szCs w:val="32"/>
          <w:highlight w:val="none"/>
          <w:lang w:val="en-US" w:eastAsia="zh-CN" w:bidi="ar-SA"/>
        </w:rPr>
        <w:t>年度总体工作和重点工作任务</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2022 年，在市委、市政府的坚强领导下，市机场办凝心聚力、履职尽责、忠诚担当，以习近平新时代中国特色社会主义思想为引领，团结带领全体干部职工深入贯彻落实党的二十大精神、省第十三次党代会精神以及市委“515”高质量发展战略目标，加快推进空军佛山机场迁建和珠三角枢纽（广州新）机场筹建工作，较好地完成了年度任务目标。</w:t>
      </w:r>
      <w:r>
        <w:rPr>
          <w:rFonts w:hint="eastAsia" w:ascii="宋体" w:hAnsi="宋体" w:eastAsia="仿宋_GB2312"/>
          <w:sz w:val="32"/>
          <w:szCs w:val="32"/>
          <w:lang w:eastAsia="zh-CN"/>
        </w:rPr>
        <w:t>现将一年来的工作总结如下</w:t>
      </w:r>
      <w:r>
        <w:rPr>
          <w:rFonts w:hint="eastAsia" w:ascii="宋体" w:hAnsi="宋体" w:eastAsia="仿宋_GB2312"/>
          <w:sz w:val="32"/>
          <w:szCs w:val="32"/>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推动机场实现投资建设运营一体化运作。</w:t>
      </w:r>
    </w:p>
    <w:p>
      <w:pPr>
        <w:spacing w:line="560" w:lineRule="exact"/>
        <w:ind w:firstLine="640" w:firstLineChars="200"/>
        <w:rPr>
          <w:rFonts w:ascii="宋体" w:hAnsi="宋体" w:eastAsia="仿宋_GB2312"/>
          <w:sz w:val="32"/>
          <w:szCs w:val="32"/>
        </w:rPr>
      </w:pPr>
      <w:r>
        <w:rPr>
          <w:rFonts w:hint="eastAsia" w:ascii="仿宋_GB2312" w:hAnsi="仿宋_GB2312" w:eastAsia="仿宋_GB2312" w:cs="仿宋_GB2312"/>
          <w:bCs/>
          <w:sz w:val="32"/>
          <w:szCs w:val="32"/>
          <w:lang w:val="en-US" w:eastAsia="zh-CN"/>
        </w:rPr>
        <w:t>（1）积极落实机场投建管一体化方案。</w:t>
      </w:r>
      <w:r>
        <w:rPr>
          <w:rFonts w:hint="eastAsia" w:ascii="宋体" w:hAnsi="宋体" w:eastAsia="仿宋_GB2312"/>
          <w:sz w:val="32"/>
          <w:szCs w:val="32"/>
        </w:rPr>
        <w:t>按照市委、市政府关于机场投资、建设和运营管理一体化的指示，积极与省发展改革委、省机场集团等部门进行沟通，配合省发改委制订了《佛山新机场资金筹措方案》，积极推进投建管一体化。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）全面深化与省机场集团的合作。</w:t>
      </w:r>
      <w:r>
        <w:rPr>
          <w:rFonts w:hint="eastAsia" w:ascii="仿宋_GB2312" w:hAnsi="仿宋_GB2312" w:eastAsia="仿宋_GB2312" w:cs="仿宋_GB2312"/>
          <w:sz w:val="32"/>
          <w:szCs w:val="32"/>
        </w:rPr>
        <w:t>按照省政府 9 月份工作部署，加强与省机场集团在技术层面的对接，已将民航机场相关工作移交至省机场集团。根据市委、市政府指示精神，迅速与省机场集团对接和商谈成立项目合资公司事宜，深化机场客运量和经济测算，与市有关单位共同研究占股比例、运营补亏等事项，合作协议的大多数条款与省机场集团达成了一致，争取早日签订合作协议和成立项目合资公司。</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加快推进民航机场立项报批相关工作。</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）推动中国民航局开展行业审查工作。2022 年 4 月将机场预可研报告上报至中国民航局，配合中咨公司先后组织召开了预可研报告评估论证会和多次专题论证会，预可研报告已得到了基本认可，将推动行业审查大会尽快召开。</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）同步推进机场三大配套工程。空管工程、供油工程、南方航空公司和中国联合航空公司基地预可研报告已同步报送至中咨公司，现已具备进行行业审查的条件。</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）空域协调会顺利召开。2022年 1 月组织召开了预可研阶段空域规划军民航协调会，机场空域规划方案等得到了军民航主管部门的初步认可，为机场立项提供重要支撑。</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 xml:space="preserve">提前开展民航机场后续阶段研究和设计工作。 </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提前开展可研报告编制和现场勘察工作。督促设计单位提前开展机场可研报告的编制，将在机场预可研报告行业审查后结合评审意见同步修改完善。此外，机场可研阶段勘察现场外业工作已全部完成，查明了场址的地质和水文状况。</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）提前研究确定航站楼与航站区规划方案。经 2022 年 3 月份市委、市政府会议审议研究，广东省建筑院联合体确定中选机场航站楼创意征集方案。在省建筑院联合体多轮修改完善后，在 2022 年 9 月份市委常委会审议确定了“岭南之冠”航站楼构型方案。</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）提前启动机场总规工作。在民航相关单位的大力支持下，机场总体规划破例提前启动，目前已确定民航总院为中标服务单位，现正深化开展机场平面和竖向研究工作。</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完善机场整体交通规划。在省发展改革委的指导下，开展机场整体交通规划编制工作，先后赴周边多个地市进行调研，吸收和综合相关意见，并与周边各市最新的国土空间规划和综合交通规划进行衔接，现已形成机场整体交通规划初稿。</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）积极开展航空货运枢纽谋划和研究工作。按照省发展改革委的要求，积极推进广东省航空货运发展专题研究项目，同步开展机场货运发展战略研究课题，现已完成相关调研工作，将于近期形成研究报告初稿。</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积极规划和打造空铁联运体系。</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全力配合广湛高铁机场段开工建设。为协调解决机场与高铁存在进度差异的问题，与省铁投集团和广湛公司积极对接，组织相关设计单位联合办公，共同研究机场与高铁的初步设计边界条件并形成空铁总体设计方案成果，已配合完成广湛高铁机场段初步设计审查工作。配合广湛高铁机场段开工建设。</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提前开展机场轨道交通预留工程工作。积极开展引入轨道交通规划研究工作，同步推进轨道交通在机场范围内土建预留工程（肇顺南城际、云佛台城际）前期工作，现已基本完成可研报告编制、勘察作业和初步设计工作。</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）提前开展机场与轨道共建工程研究。组织机场、轨道等设计单位联合办公，开展机场与轨道共建工程研究工作。机场与轨道交通共建工程的方案得到国铁鉴定中心的认可，相关资料已于 11 月移交至省机场集团。</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加快推进场外配套设施规划建设工作。</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稳步推进先行工程工作进展。机场高压输电线路迁改项目方面，已取得建设用地、规划等前期批复，正在加快推进征拆工作，保障施工作业面。机场大道一期工程项目方面，项目驻地、钢筋加工场、拌合站等临建设施已全部完成并通过验收，桥梁桩基已全面开工建设。</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全面启动用地预审工作。在省发改委的支持和推动下，佛肇两市共同制定了建设用地预审工作计划表，现正按计划推进用地预审工作。机场红线范围内的永久基本农田的补划地块基本确定，已征求涉及镇村意见和编制补划方案。同时向省相关部门提出了机场建设的用地需求，协调肇庆市予以配合供地。</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提前开展临空经济区规划研究相关工作。加强与高明区、市自然资源局和三龙湾管委会的对接，共同推动临空经济区战略规划、发展规划和总体规划相关研究的编制，谋划和推动临空经济区与机场同步规划、同步建设、同步发展。</w:t>
      </w:r>
    </w:p>
    <w:p>
      <w:pPr>
        <w:pStyle w:val="2"/>
        <w:rPr>
          <w:rFonts w:hint="eastAsia"/>
          <w:lang w:val="en-US" w:eastAsia="zh-CN"/>
        </w:rPr>
      </w:pPr>
    </w:p>
    <w:p>
      <w:pPr>
        <w:pStyle w:val="2"/>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（四）部门整体支出情况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auto"/>
          <w:kern w:val="0"/>
          <w:sz w:val="32"/>
          <w:szCs w:val="32"/>
        </w:rPr>
        <w:t>根据</w:t>
      </w: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年度部门决算信息，</w:t>
      </w: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年部门整体支出</w:t>
      </w:r>
      <w:r>
        <w:rPr>
          <w:rFonts w:hint="eastAsia" w:ascii="Times New Roman" w:hAnsi="Times New Roman" w:eastAsia="仿宋_GB2312" w:cs="Times New Roman"/>
          <w:kern w:val="2"/>
          <w:sz w:val="32"/>
          <w:szCs w:val="32"/>
          <w:lang w:val="en-US" w:eastAsia="zh-CN" w:bidi="ar-SA"/>
        </w:rPr>
        <w:t>11049.70</w:t>
      </w:r>
      <w:r>
        <w:rPr>
          <w:rFonts w:hint="eastAsia" w:ascii="仿宋_GB2312" w:hAnsi="仿宋_GB2312" w:eastAsia="仿宋_GB2312" w:cs="仿宋_GB2312"/>
          <w:color w:val="auto"/>
          <w:kern w:val="0"/>
          <w:sz w:val="32"/>
          <w:szCs w:val="32"/>
        </w:rPr>
        <w:t>万元，其中：项目支出</w:t>
      </w:r>
      <w:r>
        <w:rPr>
          <w:rFonts w:hint="eastAsia" w:ascii="Times New Roman" w:hAnsi="Times New Roman" w:eastAsia="仿宋_GB2312" w:cs="Times New Roman"/>
          <w:kern w:val="2"/>
          <w:sz w:val="32"/>
          <w:szCs w:val="32"/>
          <w:lang w:val="en-US" w:eastAsia="zh-CN" w:bidi="ar-SA"/>
        </w:rPr>
        <w:t>11049.70</w:t>
      </w:r>
      <w:r>
        <w:rPr>
          <w:rFonts w:hint="eastAsia" w:ascii="仿宋_GB2312" w:hAnsi="仿宋_GB2312" w:eastAsia="仿宋_GB2312" w:cs="仿宋_GB2312"/>
          <w:color w:val="auto"/>
          <w:kern w:val="0"/>
          <w:sz w:val="32"/>
          <w:szCs w:val="32"/>
        </w:rPr>
        <w:t>万元。部门预算支出明细详见</w:t>
      </w:r>
      <w:r>
        <w:rPr>
          <w:rFonts w:hint="eastAsia" w:ascii="仿宋_GB2312" w:hAnsi="仿宋_GB2312" w:eastAsia="仿宋_GB2312" w:cs="仿宋_GB2312"/>
          <w:color w:val="auto"/>
          <w:kern w:val="0"/>
          <w:sz w:val="32"/>
          <w:szCs w:val="32"/>
          <w:lang w:eastAsia="zh-CN"/>
        </w:rPr>
        <w:t>下</w:t>
      </w:r>
      <w:r>
        <w:rPr>
          <w:rFonts w:hint="eastAsia" w:ascii="仿宋_GB2312" w:hAnsi="仿宋_GB2312" w:eastAsia="仿宋_GB2312" w:cs="仿宋_GB2312"/>
          <w:color w:val="auto"/>
          <w:kern w:val="0"/>
          <w:sz w:val="32"/>
          <w:szCs w:val="32"/>
        </w:rPr>
        <w:t>表</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黑体" w:hAnsi="黑体" w:eastAsia="黑体" w:cs="Times New Roman"/>
          <w:color w:val="auto"/>
          <w:sz w:val="28"/>
          <w:szCs w:val="28"/>
        </w:rPr>
      </w:pPr>
      <w:r>
        <w:rPr>
          <w:rFonts w:hint="eastAsia" w:ascii="黑体" w:hAnsi="黑体" w:eastAsia="黑体" w:cs="Times New Roman"/>
          <w:color w:val="auto"/>
          <w:sz w:val="28"/>
          <w:szCs w:val="28"/>
        </w:rPr>
        <w:t>部门预算支出明细表</w:t>
      </w:r>
    </w:p>
    <w:p>
      <w:pPr>
        <w:adjustRightInd w:val="0"/>
        <w:snapToGrid w:val="0"/>
        <w:spacing w:line="240" w:lineRule="auto"/>
        <w:ind w:left="1644" w:right="238"/>
        <w:jc w:val="right"/>
        <w:rPr>
          <w:rFonts w:ascii="仿宋_GB2312" w:hAnsi="仿宋" w:eastAsia="仿宋_GB2312" w:cs="Times New Roman"/>
          <w:color w:val="auto"/>
          <w:sz w:val="24"/>
          <w:szCs w:val="24"/>
        </w:rPr>
      </w:pPr>
      <w:r>
        <w:rPr>
          <w:rFonts w:hint="eastAsia" w:ascii="仿宋_GB2312" w:hAnsi="仿宋" w:eastAsia="仿宋_GB2312" w:cs="Times New Roman"/>
          <w:color w:val="auto"/>
          <w:sz w:val="24"/>
          <w:szCs w:val="24"/>
        </w:rPr>
        <w:t>单位：万元</w:t>
      </w:r>
    </w:p>
    <w:tbl>
      <w:tblPr>
        <w:tblStyle w:val="7"/>
        <w:tblW w:w="8658" w:type="dxa"/>
        <w:tblInd w:w="0" w:type="dxa"/>
        <w:shd w:val="clear" w:color="auto" w:fill="auto"/>
        <w:tblLayout w:type="fixed"/>
        <w:tblCellMar>
          <w:top w:w="0" w:type="dxa"/>
          <w:left w:w="0" w:type="dxa"/>
          <w:bottom w:w="0" w:type="dxa"/>
          <w:right w:w="0" w:type="dxa"/>
        </w:tblCellMar>
      </w:tblPr>
      <w:tblGrid>
        <w:gridCol w:w="2929"/>
        <w:gridCol w:w="1913"/>
        <w:gridCol w:w="1860"/>
        <w:gridCol w:w="1956"/>
      </w:tblGrid>
      <w:tr>
        <w:trPr>
          <w:trHeight w:val="270"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lang w:val="en-US"/>
              </w:rPr>
            </w:pPr>
            <w:r>
              <w:rPr>
                <w:rFonts w:hint="eastAsia" w:ascii="仿宋_GB2312" w:hAnsi="仿宋_GB2312" w:eastAsia="仿宋_GB2312" w:cs="仿宋_GB2312"/>
                <w:b/>
                <w:bCs/>
                <w:i w:val="0"/>
                <w:color w:val="auto"/>
                <w:kern w:val="0"/>
                <w:sz w:val="24"/>
                <w:szCs w:val="24"/>
                <w:u w:val="none"/>
                <w:lang w:val="en-US" w:eastAsia="zh-CN" w:bidi="ar"/>
              </w:rPr>
              <w:t>支出类别</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年初预算数</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调整预算数</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决算数</w:t>
            </w:r>
          </w:p>
        </w:tc>
      </w:tr>
      <w:tr>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一、基本支出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r>
      <w:tr>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人员经费</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r>
      <w:tr>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日常公用经费</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r>
      <w:tr>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二、项目支出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260550</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101550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11049.70</w:t>
            </w:r>
          </w:p>
        </w:tc>
      </w:tr>
      <w:tr>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其中：基本建设类项目</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r>
      <w:tr>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三、上缴上级支出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r>
      <w:tr>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四、经营支出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r>
      <w:tr>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五、对附属单位补助支出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rPr>
            </w:pPr>
          </w:p>
        </w:tc>
      </w:tr>
      <w:tr>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合计</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260550</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101550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11049.70</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640" w:firstLineChars="200"/>
        <w:textAlignment w:val="auto"/>
        <w:outlineLvl w:val="9"/>
        <w:rPr>
          <w:rFonts w:hint="eastAsia" w:ascii="Times New Roman" w:hAnsi="Times New Roman" w:eastAsia="黑体" w:cs="Times New Roman"/>
          <w:b w:val="0"/>
          <w:bCs/>
          <w:kern w:val="2"/>
          <w:sz w:val="32"/>
          <w:szCs w:val="32"/>
          <w:lang w:val="en-US" w:eastAsia="zh-CN"/>
        </w:rPr>
      </w:pPr>
      <w:r>
        <w:rPr>
          <w:rFonts w:hint="eastAsia" w:ascii="Times New Roman" w:hAnsi="Times New Roman" w:eastAsia="黑体" w:cs="Times New Roman"/>
          <w:b w:val="0"/>
          <w:bCs/>
          <w:kern w:val="2"/>
          <w:sz w:val="32"/>
          <w:szCs w:val="32"/>
          <w:lang w:val="en-US" w:eastAsia="zh-CN"/>
        </w:rPr>
        <w:t>绩效自评情况</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自评结论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default" w:ascii="宋体" w:hAnsi="宋体" w:eastAsia="仿宋_GB2312" w:cs="Times New Roman"/>
          <w:kern w:val="2"/>
          <w:sz w:val="32"/>
          <w:szCs w:val="32"/>
          <w:lang w:val="en-US" w:eastAsia="zh-CN" w:bidi="ar-SA"/>
        </w:rPr>
      </w:pPr>
      <w:r>
        <w:rPr>
          <w:rFonts w:hint="default" w:ascii="宋体" w:hAnsi="宋体" w:eastAsia="仿宋_GB2312" w:cs="Times New Roman"/>
          <w:kern w:val="2"/>
          <w:sz w:val="32"/>
          <w:szCs w:val="32"/>
          <w:lang w:val="en-US" w:eastAsia="zh-CN" w:bidi="ar-SA"/>
        </w:rPr>
        <w:t>市</w:t>
      </w:r>
      <w:r>
        <w:rPr>
          <w:rFonts w:hint="eastAsia" w:ascii="宋体" w:hAnsi="宋体" w:eastAsia="仿宋_GB2312" w:cs="Times New Roman"/>
          <w:kern w:val="2"/>
          <w:sz w:val="32"/>
          <w:szCs w:val="32"/>
          <w:lang w:val="en-US" w:eastAsia="zh-CN" w:bidi="ar-SA"/>
        </w:rPr>
        <w:t>机场办</w:t>
      </w:r>
      <w:r>
        <w:rPr>
          <w:rFonts w:hint="default" w:ascii="宋体" w:hAnsi="宋体" w:eastAsia="仿宋_GB2312" w:cs="Times New Roman"/>
          <w:kern w:val="2"/>
          <w:sz w:val="32"/>
          <w:szCs w:val="32"/>
          <w:lang w:val="en-US" w:eastAsia="zh-CN" w:bidi="ar-SA"/>
        </w:rPr>
        <w:t>根据《202</w:t>
      </w:r>
      <w:r>
        <w:rPr>
          <w:rFonts w:hint="eastAsia" w:ascii="宋体" w:hAnsi="宋体" w:eastAsia="仿宋_GB2312" w:cs="Times New Roman"/>
          <w:kern w:val="2"/>
          <w:sz w:val="32"/>
          <w:szCs w:val="32"/>
          <w:lang w:val="en-US" w:eastAsia="zh-CN" w:bidi="ar-SA"/>
        </w:rPr>
        <w:t>2</w:t>
      </w:r>
      <w:r>
        <w:rPr>
          <w:rFonts w:hint="default" w:ascii="宋体" w:hAnsi="宋体" w:eastAsia="仿宋_GB2312" w:cs="Times New Roman"/>
          <w:kern w:val="2"/>
          <w:sz w:val="32"/>
          <w:szCs w:val="32"/>
          <w:lang w:val="en-US" w:eastAsia="zh-CN" w:bidi="ar-SA"/>
        </w:rPr>
        <w:t>年度佛山市市级部门整体支出绩效自评表》</w:t>
      </w:r>
      <w:r>
        <w:rPr>
          <w:rFonts w:hint="eastAsia" w:ascii="宋体" w:hAnsi="宋体" w:eastAsia="仿宋_GB2312" w:cs="Times New Roman"/>
          <w:kern w:val="2"/>
          <w:sz w:val="32"/>
          <w:szCs w:val="32"/>
          <w:lang w:val="en-US" w:eastAsia="zh-CN" w:bidi="ar-SA"/>
        </w:rPr>
        <w:t>进行自评</w:t>
      </w:r>
      <w:r>
        <w:rPr>
          <w:rFonts w:hint="default" w:ascii="宋体" w:hAnsi="宋体" w:eastAsia="仿宋_GB2312" w:cs="Times New Roman"/>
          <w:kern w:val="2"/>
          <w:sz w:val="32"/>
          <w:szCs w:val="32"/>
          <w:lang w:val="en-US" w:eastAsia="zh-CN" w:bidi="ar-SA"/>
        </w:rPr>
        <w:t>，20</w:t>
      </w:r>
      <w:r>
        <w:rPr>
          <w:rFonts w:hint="eastAsia" w:ascii="宋体" w:hAnsi="宋体" w:eastAsia="仿宋_GB2312" w:cs="Times New Roman"/>
          <w:kern w:val="2"/>
          <w:sz w:val="32"/>
          <w:szCs w:val="32"/>
          <w:lang w:val="en-US" w:eastAsia="zh-CN" w:bidi="ar-SA"/>
        </w:rPr>
        <w:t>22</w:t>
      </w:r>
      <w:r>
        <w:rPr>
          <w:rFonts w:hint="default" w:ascii="宋体" w:hAnsi="宋体" w:eastAsia="仿宋_GB2312" w:cs="Times New Roman"/>
          <w:kern w:val="2"/>
          <w:sz w:val="32"/>
          <w:szCs w:val="32"/>
          <w:lang w:val="en-US" w:eastAsia="zh-CN" w:bidi="ar-SA"/>
        </w:rPr>
        <w:t>年市</w:t>
      </w:r>
      <w:r>
        <w:rPr>
          <w:rFonts w:hint="eastAsia" w:ascii="宋体" w:hAnsi="宋体" w:eastAsia="仿宋_GB2312" w:cs="Times New Roman"/>
          <w:kern w:val="2"/>
          <w:sz w:val="32"/>
          <w:szCs w:val="32"/>
          <w:lang w:val="en-US" w:eastAsia="zh-CN" w:bidi="ar-SA"/>
        </w:rPr>
        <w:t>机场办</w:t>
      </w:r>
      <w:r>
        <w:rPr>
          <w:rFonts w:hint="default" w:ascii="宋体" w:hAnsi="宋体" w:eastAsia="仿宋_GB2312" w:cs="Times New Roman"/>
          <w:kern w:val="2"/>
          <w:sz w:val="32"/>
          <w:szCs w:val="32"/>
          <w:lang w:val="en-US" w:eastAsia="zh-CN" w:bidi="ar-SA"/>
        </w:rPr>
        <w:t>20</w:t>
      </w:r>
      <w:r>
        <w:rPr>
          <w:rFonts w:hint="eastAsia" w:ascii="宋体" w:hAnsi="宋体" w:eastAsia="仿宋_GB2312" w:cs="Times New Roman"/>
          <w:kern w:val="2"/>
          <w:sz w:val="32"/>
          <w:szCs w:val="32"/>
          <w:lang w:val="en-US" w:eastAsia="zh-CN" w:bidi="ar-SA"/>
        </w:rPr>
        <w:t>22</w:t>
      </w:r>
      <w:r>
        <w:rPr>
          <w:rFonts w:hint="default" w:ascii="宋体" w:hAnsi="宋体" w:eastAsia="仿宋_GB2312" w:cs="Times New Roman"/>
          <w:kern w:val="2"/>
          <w:sz w:val="32"/>
          <w:szCs w:val="32"/>
          <w:lang w:val="en-US" w:eastAsia="zh-CN" w:bidi="ar-SA"/>
        </w:rPr>
        <w:t>年度部门整体支出的绩</w:t>
      </w:r>
      <w:r>
        <w:rPr>
          <w:rFonts w:hint="default" w:ascii="宋体" w:hAnsi="宋体" w:eastAsia="仿宋_GB2312" w:cs="Times New Roman"/>
          <w:kern w:val="2"/>
          <w:sz w:val="32"/>
          <w:szCs w:val="32"/>
          <w:highlight w:val="none"/>
          <w:lang w:val="en-US" w:eastAsia="zh-CN" w:bidi="ar-SA"/>
        </w:rPr>
        <w:t>效得分为</w:t>
      </w:r>
      <w:r>
        <w:rPr>
          <w:rFonts w:hint="eastAsia" w:ascii="宋体" w:hAnsi="宋体" w:eastAsia="仿宋_GB2312" w:cs="Times New Roman"/>
          <w:kern w:val="2"/>
          <w:sz w:val="32"/>
          <w:szCs w:val="32"/>
          <w:highlight w:val="none"/>
          <w:lang w:val="en-US" w:eastAsia="zh-CN" w:bidi="ar-SA"/>
        </w:rPr>
        <w:t>85.1</w:t>
      </w:r>
      <w:r>
        <w:rPr>
          <w:rFonts w:hint="default" w:ascii="宋体" w:hAnsi="宋体" w:eastAsia="仿宋_GB2312" w:cs="Times New Roman"/>
          <w:kern w:val="2"/>
          <w:sz w:val="32"/>
          <w:szCs w:val="32"/>
          <w:highlight w:val="none"/>
          <w:lang w:val="en-US" w:eastAsia="zh-CN" w:bidi="ar-SA"/>
        </w:rPr>
        <w:t>分，绩效等级为“</w:t>
      </w:r>
      <w:r>
        <w:rPr>
          <w:rFonts w:hint="eastAsia" w:ascii="宋体" w:hAnsi="宋体" w:eastAsia="仿宋_GB2312" w:cs="Times New Roman"/>
          <w:kern w:val="2"/>
          <w:sz w:val="32"/>
          <w:szCs w:val="32"/>
          <w:highlight w:val="none"/>
          <w:lang w:val="en-US" w:eastAsia="zh-CN" w:bidi="ar-SA"/>
        </w:rPr>
        <w:t>良</w:t>
      </w:r>
      <w:r>
        <w:rPr>
          <w:rFonts w:hint="default" w:ascii="宋体" w:hAnsi="宋体" w:eastAsia="仿宋_GB2312" w:cs="Times New Roman"/>
          <w:kern w:val="2"/>
          <w:sz w:val="32"/>
          <w:szCs w:val="32"/>
          <w:highlight w:val="none"/>
          <w:lang w:val="en-US" w:eastAsia="zh-CN" w:bidi="ar-SA"/>
        </w:rPr>
        <w:t>”</w:t>
      </w:r>
      <w:r>
        <w:rPr>
          <w:rStyle w:val="10"/>
          <w:rFonts w:hint="default" w:ascii="宋体" w:hAnsi="宋体" w:eastAsia="仿宋_GB2312" w:cs="Times New Roman"/>
          <w:kern w:val="2"/>
          <w:sz w:val="32"/>
          <w:szCs w:val="32"/>
          <w:lang w:val="en-US" w:eastAsia="zh-CN" w:bidi="ar-SA"/>
        </w:rPr>
        <w:footnoteReference w:id="0"/>
      </w:r>
      <w:r>
        <w:rPr>
          <w:rFonts w:hint="default" w:ascii="宋体" w:hAnsi="宋体" w:eastAsia="仿宋_GB2312" w:cs="Times New Roman"/>
          <w:kern w:val="2"/>
          <w:sz w:val="32"/>
          <w:szCs w:val="32"/>
          <w:lang w:val="en-US" w:eastAsia="zh-CN" w:bidi="ar-SA"/>
        </w:rPr>
        <w:t>。</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管理效率分析</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预算绩效管理情况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default"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市机场办</w:t>
      </w:r>
      <w:r>
        <w:rPr>
          <w:rFonts w:hint="default" w:ascii="宋体" w:hAnsi="宋体" w:eastAsia="仿宋_GB2312" w:cs="Times New Roman"/>
          <w:kern w:val="2"/>
          <w:sz w:val="32"/>
          <w:szCs w:val="32"/>
          <w:lang w:val="en-US" w:eastAsia="zh-CN" w:bidi="ar-SA"/>
        </w:rPr>
        <w:t>预算编制基本符合</w:t>
      </w:r>
      <w:r>
        <w:rPr>
          <w:rFonts w:hint="eastAsia" w:ascii="宋体" w:hAnsi="宋体" w:eastAsia="仿宋_GB2312" w:cs="Times New Roman"/>
          <w:kern w:val="2"/>
          <w:sz w:val="32"/>
          <w:szCs w:val="32"/>
          <w:lang w:val="en-US" w:eastAsia="zh-CN" w:bidi="ar-SA"/>
        </w:rPr>
        <w:t>市</w:t>
      </w:r>
      <w:r>
        <w:rPr>
          <w:rFonts w:hint="default" w:ascii="宋体" w:hAnsi="宋体" w:eastAsia="仿宋_GB2312" w:cs="Times New Roman"/>
          <w:kern w:val="2"/>
          <w:sz w:val="32"/>
          <w:szCs w:val="32"/>
          <w:lang w:val="en-US" w:eastAsia="zh-CN" w:bidi="ar-SA"/>
        </w:rPr>
        <w:t>委、</w:t>
      </w:r>
      <w:r>
        <w:rPr>
          <w:rFonts w:hint="eastAsia" w:ascii="宋体" w:hAnsi="宋体" w:eastAsia="仿宋_GB2312" w:cs="Times New Roman"/>
          <w:kern w:val="2"/>
          <w:sz w:val="32"/>
          <w:szCs w:val="32"/>
          <w:lang w:val="en-US" w:eastAsia="zh-CN" w:bidi="ar-SA"/>
        </w:rPr>
        <w:t>市</w:t>
      </w:r>
      <w:r>
        <w:rPr>
          <w:rFonts w:hint="default" w:ascii="宋体" w:hAnsi="宋体" w:eastAsia="仿宋_GB2312" w:cs="Times New Roman"/>
          <w:kern w:val="2"/>
          <w:sz w:val="32"/>
          <w:szCs w:val="32"/>
          <w:lang w:val="en-US" w:eastAsia="zh-CN" w:bidi="ar-SA"/>
        </w:rPr>
        <w:t>政府方针政策和工作要求</w:t>
      </w:r>
      <w:r>
        <w:rPr>
          <w:rFonts w:hint="eastAsia" w:ascii="宋体" w:hAnsi="宋体" w:eastAsia="仿宋_GB2312" w:cs="Times New Roman"/>
          <w:kern w:val="2"/>
          <w:sz w:val="32"/>
          <w:szCs w:val="32"/>
          <w:lang w:val="en-US" w:eastAsia="zh-CN" w:bidi="ar-SA"/>
        </w:rPr>
        <w:t>，</w:t>
      </w:r>
      <w:r>
        <w:rPr>
          <w:rFonts w:hint="default" w:ascii="宋体" w:hAnsi="宋体" w:eastAsia="仿宋_GB2312" w:cs="Times New Roman"/>
          <w:kern w:val="2"/>
          <w:sz w:val="32"/>
          <w:szCs w:val="32"/>
          <w:lang w:val="en-US" w:eastAsia="zh-CN" w:bidi="ar-SA"/>
        </w:rPr>
        <w:t>符合本部门职责</w:t>
      </w:r>
      <w:r>
        <w:rPr>
          <w:rFonts w:hint="eastAsia" w:ascii="宋体" w:hAnsi="宋体" w:eastAsia="仿宋_GB2312" w:cs="Times New Roman"/>
          <w:kern w:val="2"/>
          <w:sz w:val="32"/>
          <w:szCs w:val="32"/>
          <w:lang w:val="en-US" w:eastAsia="zh-CN" w:bidi="ar-SA"/>
        </w:rPr>
        <w:t>和</w:t>
      </w:r>
      <w:r>
        <w:rPr>
          <w:rFonts w:hint="default" w:ascii="宋体" w:hAnsi="宋体" w:eastAsia="仿宋_GB2312" w:cs="Times New Roman"/>
          <w:kern w:val="2"/>
          <w:sz w:val="32"/>
          <w:szCs w:val="32"/>
          <w:lang w:val="en-US" w:eastAsia="zh-CN" w:bidi="ar-SA"/>
        </w:rPr>
        <w:t>本部门制定的相关规划。在开展20</w:t>
      </w:r>
      <w:r>
        <w:rPr>
          <w:rFonts w:hint="eastAsia" w:ascii="宋体" w:hAnsi="宋体" w:eastAsia="仿宋_GB2312" w:cs="Times New Roman"/>
          <w:kern w:val="2"/>
          <w:sz w:val="32"/>
          <w:szCs w:val="32"/>
          <w:lang w:val="en-US" w:eastAsia="zh-CN" w:bidi="ar-SA"/>
        </w:rPr>
        <w:t>22</w:t>
      </w:r>
      <w:r>
        <w:rPr>
          <w:rFonts w:hint="default" w:ascii="宋体" w:hAnsi="宋体" w:eastAsia="仿宋_GB2312" w:cs="Times New Roman"/>
          <w:kern w:val="2"/>
          <w:sz w:val="32"/>
          <w:szCs w:val="32"/>
          <w:lang w:val="en-US" w:eastAsia="zh-CN" w:bidi="ar-SA"/>
        </w:rPr>
        <w:t>年部门预算编制时，能够严格按照</w:t>
      </w:r>
      <w:r>
        <w:rPr>
          <w:rFonts w:hint="eastAsia" w:ascii="宋体" w:hAnsi="宋体" w:eastAsia="仿宋_GB2312" w:cs="Times New Roman"/>
          <w:kern w:val="2"/>
          <w:sz w:val="32"/>
          <w:szCs w:val="32"/>
          <w:lang w:val="en-US" w:eastAsia="zh-CN" w:bidi="ar-SA"/>
        </w:rPr>
        <w:t>市财政局当年</w:t>
      </w:r>
      <w:r>
        <w:rPr>
          <w:rFonts w:hint="default" w:ascii="宋体" w:hAnsi="宋体" w:eastAsia="仿宋_GB2312" w:cs="Times New Roman"/>
          <w:kern w:val="2"/>
          <w:sz w:val="32"/>
          <w:szCs w:val="32"/>
          <w:lang w:val="en-US" w:eastAsia="zh-CN" w:bidi="ar-SA"/>
        </w:rPr>
        <w:t>预算编制文件的要求，预算编制</w:t>
      </w:r>
      <w:r>
        <w:rPr>
          <w:rFonts w:hint="eastAsia" w:ascii="宋体" w:hAnsi="宋体" w:eastAsia="仿宋_GB2312" w:cs="Times New Roman"/>
          <w:kern w:val="2"/>
          <w:sz w:val="32"/>
          <w:szCs w:val="32"/>
          <w:lang w:val="en-US" w:eastAsia="zh-CN" w:bidi="ar-SA"/>
        </w:rPr>
        <w:t>合理</w:t>
      </w:r>
      <w:r>
        <w:rPr>
          <w:rFonts w:hint="default" w:ascii="宋体" w:hAnsi="宋体" w:eastAsia="仿宋_GB2312" w:cs="Times New Roman"/>
          <w:kern w:val="2"/>
          <w:sz w:val="32"/>
          <w:szCs w:val="32"/>
          <w:lang w:val="en-US" w:eastAsia="zh-CN" w:bidi="ar-SA"/>
        </w:rPr>
        <w:t>规范</w:t>
      </w:r>
      <w:r>
        <w:rPr>
          <w:rFonts w:hint="eastAsia" w:ascii="宋体" w:hAnsi="宋体" w:eastAsia="仿宋_GB2312" w:cs="Times New Roman"/>
          <w:kern w:val="2"/>
          <w:sz w:val="32"/>
          <w:szCs w:val="32"/>
          <w:lang w:val="en-US" w:eastAsia="zh-CN" w:bidi="ar-SA"/>
        </w:rPr>
        <w:t>，项目入库符合《佛山市市级财政资金项目库管理办法（试行）》要求</w:t>
      </w:r>
      <w:r>
        <w:rPr>
          <w:rFonts w:hint="default" w:ascii="宋体" w:hAnsi="宋体" w:eastAsia="仿宋_GB2312"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市</w:t>
      </w:r>
      <w:r>
        <w:rPr>
          <w:rFonts w:hint="eastAsia" w:ascii="Times New Roman" w:hAnsi="Times New Roman" w:eastAsia="仿宋_GB2312" w:cs="Times New Roman"/>
          <w:kern w:val="2"/>
          <w:sz w:val="32"/>
          <w:szCs w:val="32"/>
          <w:lang w:val="en-US" w:eastAsia="zh-CN" w:bidi="ar-SA"/>
        </w:rPr>
        <w:t>机场办</w:t>
      </w:r>
      <w:r>
        <w:rPr>
          <w:rFonts w:hint="default" w:ascii="Times New Roman" w:hAnsi="Times New Roman" w:eastAsia="仿宋_GB2312" w:cs="Times New Roman"/>
          <w:kern w:val="2"/>
          <w:sz w:val="32"/>
          <w:szCs w:val="32"/>
          <w:lang w:val="en-US" w:eastAsia="zh-CN" w:bidi="ar-SA"/>
        </w:rPr>
        <w:t>根据</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年度工作安排，在编制</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年度预算时，</w:t>
      </w:r>
      <w:r>
        <w:rPr>
          <w:rFonts w:hint="eastAsia" w:ascii="Times New Roman" w:hAnsi="Times New Roman" w:eastAsia="仿宋_GB2312" w:cs="Times New Roman"/>
          <w:kern w:val="2"/>
          <w:sz w:val="32"/>
          <w:szCs w:val="32"/>
          <w:lang w:val="en-US" w:eastAsia="zh-CN" w:bidi="ar-SA"/>
        </w:rPr>
        <w:t>按照《佛山市市级财政资金绩效评估和评审管理暂行办法》，对预算项目设定科学合理的绩效目标，并开展事前绩效评估。</w:t>
      </w:r>
      <w:r>
        <w:rPr>
          <w:rFonts w:hint="default" w:ascii="Times New Roman" w:hAnsi="Times New Roman" w:eastAsia="仿宋_GB2312" w:cs="Times New Roman"/>
          <w:kern w:val="2"/>
          <w:sz w:val="32"/>
          <w:szCs w:val="32"/>
          <w:lang w:val="en-US" w:eastAsia="zh-CN" w:bidi="ar-SA"/>
        </w:rPr>
        <w:t>项目绩效目标细化分解为具体的绩效指标</w:t>
      </w:r>
      <w:r>
        <w:rPr>
          <w:rFonts w:hint="eastAsia" w:ascii="Times New Roman" w:hAnsi="Times New Roman" w:eastAsia="仿宋_GB2312" w:cs="Times New Roman"/>
          <w:kern w:val="2"/>
          <w:sz w:val="32"/>
          <w:szCs w:val="32"/>
          <w:lang w:val="en-US" w:eastAsia="zh-CN" w:bidi="ar-SA"/>
        </w:rPr>
        <w:t>，通过清晰、可衡量的指标值予以体现，与项目年度任务数或计划数相对应，</w:t>
      </w:r>
      <w:r>
        <w:rPr>
          <w:rFonts w:hint="default" w:ascii="Times New Roman" w:hAnsi="Times New Roman" w:eastAsia="仿宋_GB2312" w:cs="Times New Roman"/>
          <w:kern w:val="2"/>
          <w:sz w:val="32"/>
          <w:szCs w:val="32"/>
          <w:lang w:val="en-US" w:eastAsia="zh-CN" w:bidi="ar-SA"/>
        </w:rPr>
        <w:t>与预算确定的项目投资额或资金量相匹配</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该指标分值</w:t>
      </w:r>
      <w:r>
        <w:rPr>
          <w:rFonts w:hint="eastAsia" w:ascii="Times New Roman" w:hAnsi="Times New Roman" w:eastAsia="仿宋_GB2312" w:cs="Times New Roman"/>
          <w:kern w:val="2"/>
          <w:sz w:val="32"/>
          <w:szCs w:val="32"/>
          <w:lang w:val="en-US" w:eastAsia="zh-CN" w:bidi="ar-SA"/>
        </w:rPr>
        <w:t>10</w:t>
      </w:r>
      <w:r>
        <w:rPr>
          <w:rFonts w:hint="default" w:ascii="Times New Roman" w:hAnsi="Times New Roman" w:eastAsia="仿宋_GB2312" w:cs="Times New Roman"/>
          <w:kern w:val="2"/>
          <w:sz w:val="32"/>
          <w:szCs w:val="32"/>
          <w:lang w:val="en-US" w:eastAsia="zh-CN" w:bidi="ar-SA"/>
        </w:rPr>
        <w:t>分，自评得分</w:t>
      </w:r>
      <w:r>
        <w:rPr>
          <w:rFonts w:hint="eastAsia" w:ascii="Times New Roman" w:hAnsi="Times New Roman"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en-US" w:eastAsia="zh-CN" w:bidi="ar-SA"/>
        </w:rPr>
        <w:t>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财务管理情况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default"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市机场办</w:t>
      </w:r>
      <w:r>
        <w:rPr>
          <w:rFonts w:hint="default" w:ascii="宋体" w:hAnsi="宋体" w:eastAsia="仿宋_GB2312" w:cs="Times New Roman"/>
          <w:kern w:val="2"/>
          <w:sz w:val="32"/>
          <w:szCs w:val="32"/>
          <w:lang w:val="en-US" w:eastAsia="zh-CN" w:bidi="ar-SA"/>
        </w:rPr>
        <w:t>在资金使用的管理过程中，严格执行了相关的各项规章制度，会议、</w:t>
      </w:r>
      <w:r>
        <w:rPr>
          <w:rFonts w:hint="eastAsia" w:ascii="宋体" w:hAnsi="宋体" w:eastAsia="仿宋_GB2312" w:cs="Times New Roman"/>
          <w:kern w:val="2"/>
          <w:sz w:val="32"/>
          <w:szCs w:val="32"/>
          <w:lang w:val="en-US" w:eastAsia="zh-CN" w:bidi="ar-SA"/>
        </w:rPr>
        <w:t>采购</w:t>
      </w:r>
      <w:r>
        <w:rPr>
          <w:rFonts w:hint="default" w:ascii="宋体" w:hAnsi="宋体" w:eastAsia="仿宋_GB2312" w:cs="Times New Roman"/>
          <w:kern w:val="2"/>
          <w:sz w:val="32"/>
          <w:szCs w:val="32"/>
          <w:lang w:val="en-US" w:eastAsia="zh-CN" w:bidi="ar-SA"/>
        </w:rPr>
        <w:t>、</w:t>
      </w:r>
      <w:r>
        <w:rPr>
          <w:rFonts w:hint="eastAsia" w:ascii="宋体" w:hAnsi="宋体" w:eastAsia="仿宋_GB2312" w:cs="Times New Roman"/>
          <w:kern w:val="2"/>
          <w:sz w:val="32"/>
          <w:szCs w:val="32"/>
          <w:lang w:val="en-US" w:eastAsia="zh-CN" w:bidi="ar-SA"/>
        </w:rPr>
        <w:t>办公</w:t>
      </w:r>
      <w:r>
        <w:rPr>
          <w:rFonts w:hint="default" w:ascii="宋体" w:hAnsi="宋体" w:eastAsia="仿宋_GB2312" w:cs="Times New Roman"/>
          <w:kern w:val="2"/>
          <w:sz w:val="32"/>
          <w:szCs w:val="32"/>
          <w:lang w:val="en-US" w:eastAsia="zh-CN" w:bidi="ar-SA"/>
        </w:rPr>
        <w:t>资金等支出标准严格执行</w:t>
      </w:r>
      <w:r>
        <w:rPr>
          <w:rFonts w:hint="eastAsia" w:ascii="宋体" w:hAnsi="宋体" w:eastAsia="仿宋_GB2312" w:cs="Times New Roman"/>
          <w:kern w:val="2"/>
          <w:sz w:val="32"/>
          <w:szCs w:val="32"/>
          <w:lang w:val="en-US" w:eastAsia="zh-CN" w:bidi="ar-SA"/>
        </w:rPr>
        <w:t>市</w:t>
      </w:r>
      <w:r>
        <w:rPr>
          <w:rFonts w:hint="default" w:ascii="宋体" w:hAnsi="宋体" w:eastAsia="仿宋_GB2312" w:cs="Times New Roman"/>
          <w:kern w:val="2"/>
          <w:sz w:val="32"/>
          <w:szCs w:val="32"/>
          <w:lang w:val="en-US" w:eastAsia="zh-CN" w:bidi="ar-SA"/>
        </w:rPr>
        <w:t>的有关规定。无超范围、超标准支出</w:t>
      </w:r>
      <w:r>
        <w:rPr>
          <w:rFonts w:hint="eastAsia" w:ascii="宋体" w:hAnsi="宋体" w:eastAsia="仿宋_GB2312"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ascii="宋体" w:hAnsi="宋体" w:eastAsia="仿宋_GB2312" w:cs="Times New Roman"/>
          <w:kern w:val="2"/>
          <w:sz w:val="32"/>
          <w:szCs w:val="32"/>
          <w:lang w:val="en-US" w:eastAsia="zh-CN" w:bidi="ar-SA"/>
        </w:rPr>
      </w:pPr>
      <w:r>
        <w:rPr>
          <w:rFonts w:hint="default" w:ascii="宋体" w:hAnsi="宋体" w:eastAsia="仿宋_GB2312" w:cs="Times New Roman"/>
          <w:kern w:val="2"/>
          <w:sz w:val="32"/>
          <w:szCs w:val="32"/>
          <w:lang w:val="en-US" w:eastAsia="zh-CN" w:bidi="ar-SA"/>
        </w:rPr>
        <w:t>在会计核算方面，</w:t>
      </w:r>
      <w:r>
        <w:rPr>
          <w:rFonts w:hint="eastAsia" w:ascii="宋体" w:hAnsi="宋体" w:eastAsia="仿宋_GB2312" w:cs="Times New Roman"/>
          <w:kern w:val="2"/>
          <w:sz w:val="32"/>
          <w:szCs w:val="32"/>
          <w:lang w:val="en-US" w:eastAsia="zh-CN" w:bidi="ar-SA"/>
        </w:rPr>
        <w:t>市机场办</w:t>
      </w:r>
      <w:r>
        <w:rPr>
          <w:rFonts w:hint="default" w:ascii="宋体" w:hAnsi="宋体" w:eastAsia="仿宋_GB2312" w:cs="Times New Roman"/>
          <w:kern w:val="2"/>
          <w:sz w:val="32"/>
          <w:szCs w:val="32"/>
          <w:lang w:val="en-US" w:eastAsia="zh-CN" w:bidi="ar-SA"/>
        </w:rPr>
        <w:t>一方面严格按照会计规范进行各项财务账目处理。对于资金下达文件有明确要求的，将资金列入相应科目进行财务管理，会计核算符合要求。按时按要求提交权责发生制部门财务报告</w:t>
      </w:r>
      <w:r>
        <w:rPr>
          <w:rFonts w:hint="eastAsia" w:ascii="宋体" w:hAnsi="宋体" w:eastAsia="仿宋_GB2312" w:cs="Times New Roman"/>
          <w:kern w:val="2"/>
          <w:sz w:val="32"/>
          <w:szCs w:val="32"/>
          <w:lang w:val="en-US" w:eastAsia="zh-CN" w:bidi="ar-SA"/>
        </w:rPr>
        <w:t>和部门决算报表。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ascii="宋体" w:hAnsi="宋体" w:eastAsia="仿宋_GB2312" w:cs="Times New Roman"/>
          <w:kern w:val="2"/>
          <w:sz w:val="32"/>
          <w:szCs w:val="32"/>
          <w:highlight w:val="yellow"/>
          <w:lang w:val="en-US" w:eastAsia="zh-CN" w:bidi="ar-SA"/>
        </w:rPr>
      </w:pPr>
      <w:r>
        <w:rPr>
          <w:rFonts w:hint="eastAsia" w:ascii="宋体" w:hAnsi="宋体" w:eastAsia="仿宋_GB2312" w:cs="Times New Roman"/>
          <w:kern w:val="2"/>
          <w:sz w:val="32"/>
          <w:szCs w:val="32"/>
          <w:highlight w:val="none"/>
          <w:lang w:val="en-US" w:eastAsia="zh-CN" w:bidi="ar-SA"/>
        </w:rPr>
        <w:t>在内部控制管理方面，市机场办按照《行政事业单位内部控制规范（试行）》要求，基本建立了内部控制管理制度，</w:t>
      </w:r>
      <w:bookmarkStart w:id="0" w:name="_GoBack"/>
      <w:bookmarkEnd w:id="0"/>
      <w:r>
        <w:rPr>
          <w:rFonts w:hint="default" w:ascii="宋体" w:hAnsi="宋体" w:eastAsia="仿宋_GB2312" w:cs="Times New Roman"/>
          <w:kern w:val="2"/>
          <w:sz w:val="32"/>
          <w:szCs w:val="32"/>
          <w:highlight w:val="none"/>
          <w:lang w:val="en-US" w:eastAsia="zh-CN" w:bidi="ar-SA"/>
        </w:rPr>
        <w:t>成立内部控制领导小组</w:t>
      </w:r>
      <w:r>
        <w:rPr>
          <w:rFonts w:hint="eastAsia" w:ascii="宋体" w:hAnsi="宋体" w:eastAsia="仿宋_GB2312" w:cs="Times New Roman"/>
          <w:kern w:val="2"/>
          <w:sz w:val="32"/>
          <w:szCs w:val="32"/>
          <w:highlight w:val="none"/>
          <w:lang w:val="en-US" w:eastAsia="zh-CN" w:bidi="ar-SA"/>
        </w:rPr>
        <w:t>和工作小组，单位一把手担任内部控制领导小组组长，内部控制报告全部按要求报送；但管理架构未完善，未设置内部控制评价与监督部门。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default"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在预决算信息公开方面，市机场办</w:t>
      </w:r>
      <w:r>
        <w:rPr>
          <w:rFonts w:hint="default" w:ascii="宋体" w:hAnsi="宋体" w:eastAsia="仿宋_GB2312" w:cs="Times New Roman"/>
          <w:kern w:val="2"/>
          <w:sz w:val="32"/>
          <w:szCs w:val="32"/>
          <w:lang w:val="en-US" w:eastAsia="zh-CN" w:bidi="ar-SA"/>
        </w:rPr>
        <w:t>按照</w:t>
      </w:r>
      <w:r>
        <w:rPr>
          <w:rFonts w:hint="eastAsia" w:ascii="宋体" w:hAnsi="宋体" w:eastAsia="仿宋_GB2312" w:cs="Times New Roman"/>
          <w:kern w:val="2"/>
          <w:sz w:val="32"/>
          <w:szCs w:val="32"/>
          <w:lang w:val="en-US" w:eastAsia="zh-CN" w:bidi="ar-SA"/>
        </w:rPr>
        <w:t>当年工作</w:t>
      </w:r>
      <w:r>
        <w:rPr>
          <w:rFonts w:hint="default" w:ascii="宋体" w:hAnsi="宋体" w:eastAsia="仿宋_GB2312" w:cs="Times New Roman"/>
          <w:kern w:val="2"/>
          <w:sz w:val="32"/>
          <w:szCs w:val="32"/>
          <w:lang w:val="en-US" w:eastAsia="zh-CN" w:bidi="ar-SA"/>
        </w:rPr>
        <w:t>要求，在</w:t>
      </w:r>
      <w:r>
        <w:rPr>
          <w:rFonts w:hint="eastAsia" w:ascii="宋体" w:hAnsi="宋体" w:eastAsia="仿宋_GB2312" w:cs="Times New Roman"/>
          <w:kern w:val="2"/>
          <w:sz w:val="32"/>
          <w:szCs w:val="32"/>
          <w:lang w:val="en-US" w:eastAsia="zh-CN" w:bidi="ar-SA"/>
        </w:rPr>
        <w:t>市政府</w:t>
      </w:r>
      <w:r>
        <w:rPr>
          <w:rFonts w:hint="default" w:ascii="宋体" w:hAnsi="宋体" w:eastAsia="仿宋_GB2312" w:cs="Times New Roman"/>
          <w:kern w:val="2"/>
          <w:sz w:val="32"/>
          <w:szCs w:val="32"/>
          <w:lang w:val="en-US" w:eastAsia="zh-CN" w:bidi="ar-SA"/>
        </w:rPr>
        <w:t>网站公开</w:t>
      </w:r>
      <w:r>
        <w:rPr>
          <w:rFonts w:hint="eastAsia" w:ascii="宋体" w:hAnsi="宋体" w:eastAsia="仿宋_GB2312" w:cs="Times New Roman"/>
          <w:kern w:val="2"/>
          <w:sz w:val="32"/>
          <w:szCs w:val="32"/>
          <w:lang w:val="en-US" w:eastAsia="zh-CN" w:bidi="ar-SA"/>
        </w:rPr>
        <w:t>了当年预算和决算</w:t>
      </w:r>
      <w:r>
        <w:rPr>
          <w:rFonts w:hint="default" w:ascii="宋体" w:hAnsi="宋体" w:eastAsia="仿宋_GB2312" w:cs="Times New Roman"/>
          <w:kern w:val="2"/>
          <w:sz w:val="32"/>
          <w:szCs w:val="32"/>
          <w:lang w:val="en-US" w:eastAsia="zh-CN" w:bidi="ar-SA"/>
        </w:rPr>
        <w:t>，公开内容包括全部预</w:t>
      </w:r>
      <w:r>
        <w:rPr>
          <w:rFonts w:hint="eastAsia" w:ascii="宋体" w:hAnsi="宋体" w:eastAsia="仿宋_GB2312" w:cs="Times New Roman"/>
          <w:kern w:val="2"/>
          <w:sz w:val="32"/>
          <w:szCs w:val="32"/>
          <w:lang w:val="en-US" w:eastAsia="zh-CN" w:bidi="ar-SA"/>
        </w:rPr>
        <w:t>决</w:t>
      </w:r>
      <w:r>
        <w:rPr>
          <w:rFonts w:hint="default" w:ascii="宋体" w:hAnsi="宋体" w:eastAsia="仿宋_GB2312" w:cs="Times New Roman"/>
          <w:kern w:val="2"/>
          <w:sz w:val="32"/>
          <w:szCs w:val="32"/>
          <w:lang w:val="en-US" w:eastAsia="zh-CN" w:bidi="ar-SA"/>
        </w:rPr>
        <w:t>算表格及相关说明。预</w:t>
      </w:r>
      <w:r>
        <w:rPr>
          <w:rFonts w:hint="eastAsia" w:ascii="宋体" w:hAnsi="宋体" w:eastAsia="仿宋_GB2312" w:cs="Times New Roman"/>
          <w:kern w:val="2"/>
          <w:sz w:val="32"/>
          <w:szCs w:val="32"/>
          <w:lang w:val="en-US" w:eastAsia="zh-CN" w:bidi="ar-SA"/>
        </w:rPr>
        <w:t>决</w:t>
      </w:r>
      <w:r>
        <w:rPr>
          <w:rFonts w:hint="default" w:ascii="宋体" w:hAnsi="宋体" w:eastAsia="仿宋_GB2312" w:cs="Times New Roman"/>
          <w:kern w:val="2"/>
          <w:sz w:val="32"/>
          <w:szCs w:val="32"/>
          <w:lang w:val="en-US" w:eastAsia="zh-CN" w:bidi="ar-SA"/>
        </w:rPr>
        <w:t>算公开的方式、时间、内容均符合要求。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该指标分值</w:t>
      </w:r>
      <w:r>
        <w:rPr>
          <w:rFonts w:hint="eastAsia" w:ascii="Times New Roman" w:hAnsi="Times New Roman" w:eastAsia="仿宋_GB2312" w:cs="Times New Roman"/>
          <w:kern w:val="2"/>
          <w:sz w:val="32"/>
          <w:szCs w:val="32"/>
          <w:lang w:val="en-US" w:eastAsia="zh-CN" w:bidi="ar-SA"/>
        </w:rPr>
        <w:t>20</w:t>
      </w:r>
      <w:r>
        <w:rPr>
          <w:rFonts w:hint="default" w:ascii="Times New Roman" w:hAnsi="Times New Roman" w:eastAsia="仿宋_GB2312" w:cs="Times New Roman"/>
          <w:kern w:val="2"/>
          <w:sz w:val="32"/>
          <w:szCs w:val="32"/>
          <w:lang w:val="en-US" w:eastAsia="zh-CN" w:bidi="ar-SA"/>
        </w:rPr>
        <w:t>分，自评得分</w:t>
      </w:r>
      <w:r>
        <w:rPr>
          <w:rFonts w:hint="eastAsia" w:ascii="Times New Roman" w:hAnsi="Times New Roman" w:eastAsia="仿宋_GB2312" w:cs="Times New Roman"/>
          <w:kern w:val="2"/>
          <w:sz w:val="32"/>
          <w:szCs w:val="32"/>
          <w:lang w:val="en-US" w:eastAsia="zh-CN" w:bidi="ar-SA"/>
        </w:rPr>
        <w:t>19</w:t>
      </w:r>
      <w:r>
        <w:rPr>
          <w:rFonts w:hint="default" w:ascii="Times New Roman" w:hAnsi="Times New Roman" w:eastAsia="仿宋_GB2312" w:cs="Times New Roman"/>
          <w:kern w:val="2"/>
          <w:sz w:val="32"/>
          <w:szCs w:val="32"/>
          <w:lang w:val="en-US" w:eastAsia="zh-CN" w:bidi="ar-SA"/>
        </w:rPr>
        <w:t>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项目管理情况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市机场办对各项目的立项、政府采购、签订合同、日常监管、验收等环节都执行严格规范的管理制度，未出现违规情况。属于政府采购管理范畴的项目均严格按照政府采购程序进行采购。市机场办</w:t>
      </w:r>
      <w:r>
        <w:rPr>
          <w:rFonts w:hint="eastAsia" w:ascii="宋体" w:hAnsi="宋体" w:eastAsia="仿宋_GB2312" w:cs="Times New Roman"/>
          <w:b w:val="0"/>
          <w:bCs w:val="0"/>
          <w:kern w:val="2"/>
          <w:sz w:val="32"/>
          <w:szCs w:val="32"/>
          <w:lang w:val="en-US" w:eastAsia="zh-CN" w:bidi="ar-SA"/>
        </w:rPr>
        <w:t>对项目进行监督检查的方式主要有三种：一是通过印发文件，要求各项目承担单位对项目开展的情况进行上报。二是组成检查组对项目进展、资金使用情况、运行质量等进行检查，对项目绩效目标的执行情况开展监控，发现与既定绩效目标发生偏离的情况的，及时采取措施予以纠正。三是每年对项目开展绩效自评。</w:t>
      </w:r>
      <w:r>
        <w:rPr>
          <w:rFonts w:hint="eastAsia" w:ascii="宋体" w:hAnsi="宋体" w:eastAsia="仿宋_GB2312" w:cs="Times New Roman"/>
          <w:kern w:val="2"/>
          <w:sz w:val="32"/>
          <w:szCs w:val="32"/>
          <w:lang w:val="en-US" w:eastAsia="zh-CN" w:bidi="ar-SA"/>
        </w:rPr>
        <w:t>2022年度本部门项目</w:t>
      </w:r>
      <w:r>
        <w:rPr>
          <w:rFonts w:hint="eastAsia" w:ascii="宋体" w:hAnsi="宋体" w:eastAsia="仿宋_GB2312" w:cs="Times New Roman"/>
          <w:kern w:val="2"/>
          <w:sz w:val="32"/>
          <w:szCs w:val="32"/>
          <w:highlight w:val="none"/>
          <w:lang w:val="en-US" w:eastAsia="zh-CN" w:bidi="ar-SA"/>
        </w:rPr>
        <w:t>共4个。按照市级财政支出绩效自评工作要求，市机场办对4个项目</w:t>
      </w:r>
      <w:r>
        <w:rPr>
          <w:rFonts w:hint="eastAsia" w:ascii="宋体" w:hAnsi="宋体" w:eastAsia="仿宋_GB2312" w:cs="Times New Roman"/>
          <w:kern w:val="2"/>
          <w:sz w:val="32"/>
          <w:szCs w:val="32"/>
          <w:lang w:val="en-US" w:eastAsia="zh-CN" w:bidi="ar-SA"/>
        </w:rPr>
        <w:t>开展了自评，项目自评覆盖率100%。</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该指标分值12分，自评得分12分。</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资产管理情况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市机场办资产配置全部根据实际工作需要，结合年度资金安排，合理采购，现有资产配置与工作需要之间关系合理，严格按《行政单位国有资产管理暂行办法》《事业单位国有资产管理暂行办法》等制度要求，做好资产管理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szCs w:val="24"/>
          <w:lang w:val="en-US" w:eastAsia="zh-CN"/>
        </w:rPr>
      </w:pPr>
      <w:r>
        <w:rPr>
          <w:rFonts w:hint="eastAsia" w:ascii="Times New Roman" w:hAnsi="Times New Roman" w:eastAsia="仿宋_GB2312" w:cs="Times New Roman"/>
          <w:kern w:val="2"/>
          <w:sz w:val="32"/>
          <w:szCs w:val="32"/>
          <w:lang w:val="en-US" w:eastAsia="zh-CN" w:bidi="ar-SA"/>
        </w:rPr>
        <w:t>该指标分值8分，自评得分8分。</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643" w:firstLineChars="200"/>
        <w:jc w:val="left"/>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履职效能分析</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“三公”经费控制情况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2022年市机场办“三公”经费</w:t>
      </w:r>
      <w:r>
        <w:rPr>
          <w:rFonts w:hint="eastAsia" w:ascii="Times New Roman" w:hAnsi="Times New Roman" w:eastAsia="仿宋_GB2312" w:cs="Times New Roman"/>
          <w:kern w:val="2"/>
          <w:sz w:val="32"/>
          <w:szCs w:val="32"/>
          <w:lang w:val="en-US" w:eastAsia="zh-CN" w:bidi="ar-SA"/>
        </w:rPr>
        <w:t>全年无</w:t>
      </w:r>
      <w:r>
        <w:rPr>
          <w:rFonts w:hint="eastAsia" w:ascii="仿宋_GB2312" w:hAnsi="仿宋_GB2312" w:eastAsia="仿宋_GB2312" w:cs="仿宋_GB2312"/>
          <w:kern w:val="2"/>
          <w:sz w:val="32"/>
          <w:szCs w:val="32"/>
          <w:lang w:val="en-US" w:eastAsia="zh-CN" w:bidi="ar-SA"/>
        </w:rPr>
        <w:t>预算安排。</w:t>
      </w:r>
      <w:r>
        <w:rPr>
          <w:rFonts w:hint="eastAsia" w:ascii="Times New Roman" w:hAnsi="Times New Roman" w:eastAsia="仿宋_GB2312" w:cs="Times New Roman"/>
          <w:kern w:val="2"/>
          <w:sz w:val="32"/>
          <w:szCs w:val="32"/>
          <w:lang w:val="en-US" w:eastAsia="zh-CN" w:bidi="ar-SA"/>
        </w:rPr>
        <w:t>该指标分值3分，自评得分3分。</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财政支出执行率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市机场办全年财政支出完成率为</w:t>
      </w:r>
      <w:r>
        <w:rPr>
          <w:rFonts w:hint="eastAsia" w:ascii="Times New Roman" w:hAnsi="Times New Roman" w:eastAsia="仿宋_GB2312" w:cs="仿宋_GB2312"/>
          <w:kern w:val="2"/>
          <w:sz w:val="32"/>
          <w:szCs w:val="32"/>
          <w:highlight w:val="none"/>
          <w:lang w:val="en-US" w:eastAsia="zh-CN" w:bidi="ar-SA"/>
        </w:rPr>
        <w:t>10.88%</w:t>
      </w:r>
      <w:r>
        <w:rPr>
          <w:rFonts w:hint="eastAsia" w:ascii="Times New Roman" w:hAnsi="Times New Roman" w:eastAsia="仿宋_GB2312" w:cs="仿宋_GB2312"/>
          <w:kern w:val="2"/>
          <w:sz w:val="32"/>
          <w:szCs w:val="32"/>
          <w:lang w:val="en-US" w:eastAsia="zh-CN" w:bidi="ar-SA"/>
        </w:rPr>
        <w:t>，反映2022年市机场办财政资金使用</w:t>
      </w:r>
      <w:r>
        <w:rPr>
          <w:rFonts w:hint="eastAsia" w:ascii="Times New Roman" w:hAnsi="Times New Roman" w:eastAsia="仿宋_GB2312" w:cs="Times New Roman"/>
          <w:kern w:val="2"/>
          <w:sz w:val="32"/>
          <w:szCs w:val="32"/>
          <w:lang w:val="en-US" w:eastAsia="zh-CN" w:bidi="ar-SA"/>
        </w:rPr>
        <w:t>率</w:t>
      </w:r>
      <w:r>
        <w:rPr>
          <w:rFonts w:hint="eastAsia" w:ascii="Times New Roman" w:hAnsi="Times New Roman" w:eastAsia="仿宋_GB2312" w:cs="仿宋_GB2312"/>
          <w:kern w:val="2"/>
          <w:sz w:val="32"/>
          <w:szCs w:val="32"/>
          <w:lang w:val="en-US" w:eastAsia="zh-CN" w:bidi="ar-SA"/>
        </w:rPr>
        <w:t>稍低，需进一步加强资金管理，提高资金使用效率。按照评分标准，该指标分值10分，自评得分0分。</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重点工作完成率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2022年，市机场办</w:t>
      </w:r>
      <w:r>
        <w:rPr>
          <w:rFonts w:hint="default" w:ascii="Times New Roman" w:hAnsi="Times New Roman" w:eastAsia="仿宋_GB2312" w:cs="Times New Roman"/>
          <w:color w:val="000000"/>
          <w:sz w:val="32"/>
          <w:szCs w:val="32"/>
        </w:rPr>
        <w:t>围绕“十四五”规划、省</w:t>
      </w:r>
      <w:r>
        <w:rPr>
          <w:rFonts w:hint="default" w:ascii="Times New Roman" w:hAnsi="Times New Roman" w:eastAsia="仿宋_GB2312" w:cs="Times New Roman"/>
          <w:color w:val="000000"/>
          <w:sz w:val="32"/>
          <w:szCs w:val="32"/>
          <w:lang w:val="en-US" w:eastAsia="zh-CN"/>
        </w:rPr>
        <w:t>委</w:t>
      </w:r>
      <w:r>
        <w:rPr>
          <w:rFonts w:hint="default" w:ascii="Times New Roman" w:hAnsi="Times New Roman" w:eastAsia="仿宋_GB2312" w:cs="Times New Roman"/>
          <w:color w:val="000000"/>
          <w:sz w:val="32"/>
          <w:szCs w:val="32"/>
        </w:rPr>
        <w:t>“1+1+9”工作部署</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bCs/>
          <w:sz w:val="32"/>
          <w:szCs w:val="32"/>
        </w:rPr>
        <w:t>市委</w:t>
      </w:r>
      <w:r>
        <w:rPr>
          <w:rFonts w:hint="default" w:ascii="Times New Roman" w:hAnsi="Times New Roman" w:eastAsia="仿宋_GB2312" w:cs="Times New Roman"/>
          <w:bCs w:val="0"/>
          <w:color w:val="000000"/>
          <w:sz w:val="32"/>
          <w:szCs w:val="32"/>
        </w:rPr>
        <w:t>“515”</w:t>
      </w:r>
      <w:r>
        <w:rPr>
          <w:rFonts w:hint="default" w:ascii="Times New Roman" w:hAnsi="Times New Roman" w:eastAsia="仿宋_GB2312" w:cs="Times New Roman"/>
          <w:bCs/>
          <w:sz w:val="32"/>
          <w:szCs w:val="32"/>
          <w:lang w:val="en-US" w:eastAsia="zh-CN"/>
        </w:rPr>
        <w:t>高质量</w:t>
      </w:r>
      <w:r>
        <w:rPr>
          <w:rFonts w:hint="default" w:ascii="Times New Roman" w:hAnsi="Times New Roman" w:eastAsia="仿宋_GB2312" w:cs="Times New Roman"/>
          <w:bCs/>
          <w:sz w:val="32"/>
          <w:szCs w:val="32"/>
        </w:rPr>
        <w:t>发展战略</w:t>
      </w:r>
      <w:r>
        <w:rPr>
          <w:rFonts w:hint="default" w:ascii="Times New Roman" w:hAnsi="Times New Roman" w:eastAsia="仿宋_GB2312" w:cs="Times New Roman"/>
          <w:bCs/>
          <w:sz w:val="32"/>
          <w:szCs w:val="32"/>
          <w:lang w:val="en-US" w:eastAsia="zh-CN"/>
        </w:rPr>
        <w:t>目标</w:t>
      </w:r>
      <w:r>
        <w:rPr>
          <w:rFonts w:hint="eastAsia" w:ascii="Times New Roman" w:hAnsi="Times New Roman" w:eastAsia="仿宋_GB2312" w:cs="Times New Roman"/>
          <w:kern w:val="2"/>
          <w:sz w:val="32"/>
          <w:szCs w:val="32"/>
          <w:lang w:val="en-US" w:eastAsia="zh-CN" w:bidi="ar-SA"/>
        </w:rPr>
        <w:t>，抓紧抓实主责主业，积极担当职责使命，共有1项重点工作任务，已完成1项，重点工作完成率为75%，较好地完成了年度重点工作任务，该指标分值10分，自评得分7.5分。2022年度重点工作完成情况见下表：</w:t>
      </w:r>
    </w:p>
    <w:tbl>
      <w:tblPr>
        <w:tblStyle w:val="8"/>
        <w:tblW w:w="8184" w:type="dxa"/>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236"/>
        <w:gridCol w:w="3228"/>
      </w:tblGrid>
      <w:tr>
        <w:trPr>
          <w:trHeight w:val="779" w:hRule="atLeast"/>
        </w:trPr>
        <w:tc>
          <w:tcPr>
            <w:tcW w:w="720" w:type="dxa"/>
          </w:tcPr>
          <w:p>
            <w:pPr>
              <w:pStyle w:val="11"/>
              <w:jc w:val="center"/>
              <w:rPr>
                <w:rFonts w:hint="eastAsia"/>
                <w:b/>
                <w:bCs/>
                <w:sz w:val="24"/>
                <w:szCs w:val="24"/>
                <w:vertAlign w:val="baseline"/>
                <w:lang w:val="en-US" w:eastAsia="zh-CN"/>
              </w:rPr>
            </w:pPr>
            <w:r>
              <w:rPr>
                <w:rFonts w:hint="eastAsia"/>
                <w:b/>
                <w:bCs/>
                <w:sz w:val="24"/>
                <w:szCs w:val="24"/>
                <w:vertAlign w:val="baseline"/>
                <w:lang w:val="en-US" w:eastAsia="zh-CN"/>
              </w:rPr>
              <w:t>序号</w:t>
            </w:r>
          </w:p>
        </w:tc>
        <w:tc>
          <w:tcPr>
            <w:tcW w:w="4236" w:type="dxa"/>
          </w:tcPr>
          <w:p>
            <w:pPr>
              <w:pStyle w:val="11"/>
              <w:jc w:val="center"/>
              <w:rPr>
                <w:rFonts w:hint="eastAsia"/>
                <w:b/>
                <w:bCs/>
                <w:sz w:val="24"/>
                <w:szCs w:val="24"/>
                <w:vertAlign w:val="baseline"/>
                <w:lang w:val="en-US" w:eastAsia="zh-CN"/>
              </w:rPr>
            </w:pPr>
            <w:r>
              <w:rPr>
                <w:rFonts w:hint="eastAsia"/>
                <w:b/>
                <w:bCs/>
                <w:sz w:val="24"/>
                <w:szCs w:val="24"/>
                <w:vertAlign w:val="baseline"/>
                <w:lang w:val="en-US" w:eastAsia="zh-CN"/>
              </w:rPr>
              <w:t>工作任务</w:t>
            </w:r>
          </w:p>
        </w:tc>
        <w:tc>
          <w:tcPr>
            <w:tcW w:w="3228" w:type="dxa"/>
          </w:tcPr>
          <w:p>
            <w:pPr>
              <w:pStyle w:val="11"/>
              <w:jc w:val="center"/>
              <w:rPr>
                <w:rFonts w:hint="eastAsia"/>
                <w:b/>
                <w:bCs/>
                <w:sz w:val="24"/>
                <w:szCs w:val="24"/>
                <w:vertAlign w:val="baseline"/>
                <w:lang w:val="en-US" w:eastAsia="zh-CN"/>
              </w:rPr>
            </w:pPr>
            <w:r>
              <w:rPr>
                <w:rFonts w:hint="eastAsia"/>
                <w:b/>
                <w:bCs/>
                <w:sz w:val="24"/>
                <w:szCs w:val="24"/>
                <w:vertAlign w:val="baseline"/>
                <w:lang w:val="en-US" w:eastAsia="zh-CN"/>
              </w:rPr>
              <w:t>完成情况</w:t>
            </w:r>
          </w:p>
        </w:tc>
      </w:tr>
      <w:tr>
        <w:trPr>
          <w:trHeight w:val="1068" w:hRule="atLeast"/>
        </w:trPr>
        <w:tc>
          <w:tcPr>
            <w:tcW w:w="720" w:type="dxa"/>
          </w:tcPr>
          <w:p>
            <w:pPr>
              <w:pStyle w:val="11"/>
              <w:jc w:val="center"/>
              <w:rPr>
                <w:rFonts w:hint="default"/>
                <w:sz w:val="24"/>
                <w:szCs w:val="24"/>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236" w:type="dxa"/>
          </w:tcPr>
          <w:p>
            <w:pPr>
              <w:pStyle w:val="11"/>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全力推进珠三角枢纽（广州新）机场筹建工作，争取机场土方工程年内动工。</w:t>
            </w:r>
          </w:p>
        </w:tc>
        <w:tc>
          <w:tcPr>
            <w:tcW w:w="3228" w:type="dxa"/>
          </w:tcPr>
          <w:p>
            <w:pPr>
              <w:pStyle w:val="11"/>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1、积极配合省机场集团开展工作；与省机场集团商洽成立合资公司作为机场建设运营主体事宜。</w:t>
            </w:r>
          </w:p>
          <w:p>
            <w:pPr>
              <w:pStyle w:val="11"/>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2、2022年11月，航站楼建筑方案和航站区规划方案征集成果纳入预可研报告。</w:t>
            </w:r>
          </w:p>
        </w:tc>
      </w:tr>
    </w:tbl>
    <w:p>
      <w:pPr>
        <w:pStyle w:val="11"/>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left"/>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（说明：部门重点工作任务应围绕“十四五”规划、省委“1+1+9”工作部署</w:t>
      </w:r>
      <w:r>
        <w:rPr>
          <w:rFonts w:hint="eastAsia" w:ascii="仿宋_GB2312" w:hAnsi="仿宋_GB2312" w:eastAsia="仿宋_GB2312" w:cs="仿宋_GB2312"/>
          <w:sz w:val="28"/>
          <w:szCs w:val="28"/>
          <w:lang w:eastAsia="zh-CN"/>
        </w:rPr>
        <w:t>，结合</w:t>
      </w:r>
      <w:r>
        <w:rPr>
          <w:rFonts w:hint="eastAsia" w:ascii="Times New Roman" w:hAnsi="Times New Roman" w:eastAsia="仿宋_GB2312" w:cs="仿宋_GB2312"/>
          <w:kern w:val="2"/>
          <w:sz w:val="28"/>
          <w:szCs w:val="28"/>
          <w:lang w:val="en-US" w:eastAsia="zh-CN" w:bidi="ar-SA"/>
        </w:rPr>
        <w:t>省、市委市政府、人大交办的任务、</w:t>
      </w:r>
      <w:r>
        <w:rPr>
          <w:rFonts w:hint="eastAsia" w:ascii="仿宋_GB2312" w:eastAsia="仿宋_GB2312"/>
          <w:sz w:val="28"/>
          <w:szCs w:val="28"/>
        </w:rPr>
        <w:t>《</w:t>
      </w:r>
      <w:r>
        <w:rPr>
          <w:rFonts w:hint="eastAsia" w:ascii="仿宋_GB2312" w:eastAsia="仿宋_GB2312"/>
          <w:sz w:val="28"/>
          <w:szCs w:val="28"/>
          <w:lang w:eastAsia="zh-CN"/>
        </w:rPr>
        <w:t>2022</w:t>
      </w:r>
      <w:r>
        <w:rPr>
          <w:rFonts w:hint="eastAsia" w:ascii="仿宋_GB2312" w:eastAsia="仿宋_GB2312"/>
          <w:sz w:val="28"/>
          <w:szCs w:val="28"/>
        </w:rPr>
        <w:t>年市〈政府工作报告〉重点任务督查方案》</w:t>
      </w:r>
      <w:r>
        <w:rPr>
          <w:rFonts w:hint="eastAsia" w:ascii="仿宋_GB2312" w:eastAsia="仿宋_GB2312"/>
          <w:sz w:val="28"/>
          <w:szCs w:val="28"/>
          <w:lang w:eastAsia="zh-CN"/>
        </w:rPr>
        <w:t>、</w:t>
      </w:r>
      <w:r>
        <w:rPr>
          <w:rFonts w:hint="eastAsia" w:ascii="Times New Roman" w:hAnsi="Times New Roman" w:eastAsia="仿宋_GB2312" w:cs="仿宋_GB2312"/>
          <w:kern w:val="2"/>
          <w:sz w:val="28"/>
          <w:szCs w:val="28"/>
          <w:lang w:val="en-US" w:eastAsia="zh-CN" w:bidi="ar-SA"/>
        </w:rPr>
        <w:t>部门相关规划或年度工作任务，进行梳理。</w:t>
      </w:r>
      <w:r>
        <w:rPr>
          <w:rFonts w:hint="eastAsia" w:ascii="Times New Roman" w:hAnsi="Times New Roman" w:eastAsia="仿宋_GB2312" w:cs="仿宋_GB2312"/>
          <w:b/>
          <w:bCs/>
          <w:kern w:val="2"/>
          <w:sz w:val="28"/>
          <w:szCs w:val="28"/>
          <w:lang w:val="en-US" w:eastAsia="zh-CN" w:bidi="ar-SA"/>
        </w:rPr>
        <w:t>涉密的工作任务不公开</w:t>
      </w:r>
      <w:r>
        <w:rPr>
          <w:rFonts w:hint="eastAsia" w:ascii="Times New Roman" w:hAnsi="Times New Roman" w:eastAsia="仿宋_GB2312" w:cs="仿宋_GB2312"/>
          <w:kern w:val="2"/>
          <w:sz w:val="28"/>
          <w:szCs w:val="28"/>
          <w:lang w:val="en-US" w:eastAsia="zh-CN" w:bidi="ar-SA"/>
        </w:rPr>
        <w:t>。）</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项目绩效目标完成率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2022年，市机场办积极履职，有序开展各项工作，由于受疫情影响，部分项目未能按原计划开展，导致资金无法按计划支付，少数部分的项目绩效目标如期完成。根据评分标准，市机场办的项目绩效目标完成情况主要依据于各项目单位绩效自评分数和项目资金的占比权重。</w:t>
      </w:r>
      <w:r>
        <w:rPr>
          <w:rFonts w:hint="eastAsia" w:ascii="Times New Roman" w:hAnsi="Times New Roman" w:eastAsia="仿宋_GB2312" w:cs="仿宋_GB2312"/>
          <w:kern w:val="2"/>
          <w:sz w:val="32"/>
          <w:szCs w:val="32"/>
          <w:lang w:val="en-US" w:eastAsia="zh-CN" w:bidi="ar-SA"/>
        </w:rPr>
        <w:t>该指标分值12分（含项目绩效目标完成率7分，项目完成及时性5分），按照公式计算，</w:t>
      </w:r>
      <w:r>
        <w:rPr>
          <w:rFonts w:hint="eastAsia" w:ascii="Times New Roman" w:hAnsi="Times New Roman" w:eastAsia="仿宋_GB2312" w:cs="仿宋_GB2312"/>
          <w:kern w:val="2"/>
          <w:sz w:val="32"/>
          <w:szCs w:val="32"/>
          <w:highlight w:val="none"/>
          <w:lang w:val="en-US" w:eastAsia="zh-CN" w:bidi="ar-SA"/>
        </w:rPr>
        <w:t>自评得分为11.6分</w:t>
      </w:r>
      <w:r>
        <w:rPr>
          <w:rFonts w:hint="eastAsia" w:ascii="Times New Roman" w:hAnsi="Times New Roman" w:eastAsia="仿宋_GB2312" w:cs="仿宋_GB2312"/>
          <w:kern w:val="2"/>
          <w:sz w:val="32"/>
          <w:szCs w:val="32"/>
          <w:lang w:val="en-US" w:eastAsia="zh-CN" w:bidi="ar-SA"/>
        </w:rPr>
        <w:t>。</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CN" w:bidi="ar-SA"/>
        </w:rPr>
        <w:t>政治建设、经济建设、文化建设、社会建设、生态文明建设效益</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市机场办</w:t>
      </w:r>
      <w:r>
        <w:rPr>
          <w:rFonts w:hint="eastAsia" w:ascii="仿宋_GB2312" w:hAnsi="仿宋_GB2312" w:eastAsia="仿宋_GB2312" w:cs="仿宋_GB2312"/>
          <w:sz w:val="32"/>
          <w:szCs w:val="32"/>
        </w:rPr>
        <w:t>积极围绕“十四五”规划、省委“1+1+9”工作部署和市委“515”高质量发展战略目标，统筹推进</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年各项工作任务，</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highlight w:val="none"/>
        </w:rPr>
        <w:t>完成</w:t>
      </w:r>
      <w:r>
        <w:rPr>
          <w:rFonts w:hint="eastAsia" w:ascii="宋体" w:hAnsi="宋体" w:eastAsia="仿宋_GB2312" w:cs="仿宋_GB2312"/>
          <w:sz w:val="32"/>
          <w:szCs w:val="32"/>
          <w:vertAlign w:val="baseline"/>
          <w:lang w:val="en-US" w:eastAsia="zh-CN"/>
        </w:rPr>
        <w:t>航站楼建筑方案和航站区规划方案征集成果纳入预可研报告、积极配合省机场集团开展相关工作</w:t>
      </w:r>
      <w:r>
        <w:rPr>
          <w:rFonts w:hint="eastAsia" w:ascii="仿宋_GB2312" w:hAnsi="仿宋_GB2312" w:eastAsia="仿宋_GB2312" w:cs="仿宋_GB2312"/>
          <w:sz w:val="32"/>
          <w:szCs w:val="32"/>
          <w:highlight w:val="none"/>
        </w:rPr>
        <w:t>等任务，</w:t>
      </w:r>
      <w:r>
        <w:rPr>
          <w:rFonts w:hint="eastAsia" w:ascii="仿宋_GB2312" w:hAnsi="仿宋_GB2312" w:eastAsia="仿宋_GB2312" w:cs="仿宋_GB2312"/>
          <w:sz w:val="32"/>
          <w:szCs w:val="32"/>
        </w:rPr>
        <w:t>较好地完成全年任务，</w:t>
      </w:r>
      <w:r>
        <w:rPr>
          <w:rFonts w:hint="eastAsia" w:ascii="宋体" w:hAnsi="宋体" w:eastAsia="仿宋_GB2312" w:cs="仿宋_GB2312"/>
          <w:sz w:val="32"/>
          <w:szCs w:val="32"/>
        </w:rPr>
        <w:t>有力地保障了佛山市经济社会的有序发展，</w:t>
      </w:r>
      <w:r>
        <w:rPr>
          <w:rFonts w:hint="eastAsia" w:ascii="宋体" w:hAnsi="宋体" w:eastAsia="仿宋_GB2312" w:cs="仿宋_GB2312"/>
          <w:sz w:val="32"/>
          <w:szCs w:val="32"/>
          <w:lang w:eastAsia="zh-CN"/>
        </w:rPr>
        <w:t>产生了良好的</w:t>
      </w:r>
      <w:r>
        <w:rPr>
          <w:rFonts w:hint="eastAsia" w:ascii="宋体" w:hAnsi="宋体" w:eastAsia="仿宋_GB2312" w:cs="仿宋_GB2312"/>
          <w:kern w:val="2"/>
          <w:sz w:val="32"/>
          <w:szCs w:val="32"/>
          <w:lang w:val="en-US" w:eastAsia="zh-CN" w:bidi="ar-SA"/>
        </w:rPr>
        <w:t>社会经济生态效益：一是严格按照有关程序和要求，开展项目各项工作，切实提高了项目建设规范性，促进社会稳定发展；二是为佛山经济带来积极影响，并长期有效；三是机场项目将有力带动了当地临空经济招商引资，可创造不可忽视的隐形经济效益。</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该指标分值10分，自评得分10分。</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公众或服务对象满意度</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据统计，机场办各部门满意度为100%，反映执行部门满意度较高。</w:t>
      </w:r>
      <w:r>
        <w:rPr>
          <w:rFonts w:hint="eastAsia" w:ascii="Times New Roman" w:hAnsi="Times New Roman" w:eastAsia="仿宋_GB2312" w:cs="Times New Roman"/>
          <w:kern w:val="2"/>
          <w:sz w:val="32"/>
          <w:szCs w:val="32"/>
          <w:lang w:val="en-US" w:eastAsia="zh-CN" w:bidi="ar-SA"/>
        </w:rPr>
        <w:t>该指标分值5分，自评得分5分。</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宋体" w:hAnsi="宋体" w:eastAsia="黑体" w:cs="Times New Roman"/>
          <w:bCs/>
          <w:kern w:val="2"/>
          <w:sz w:val="32"/>
          <w:szCs w:val="32"/>
          <w:lang w:val="en-US" w:eastAsia="zh-CN"/>
        </w:rPr>
      </w:pPr>
      <w:r>
        <w:rPr>
          <w:rFonts w:hint="eastAsia" w:ascii="宋体" w:hAnsi="宋体" w:eastAsia="黑体" w:cs="Times New Roman"/>
          <w:bCs/>
          <w:kern w:val="2"/>
          <w:sz w:val="32"/>
          <w:szCs w:val="32"/>
          <w:lang w:val="en-US" w:eastAsia="zh-CN"/>
        </w:rPr>
        <w:t>存在问题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宋体" w:hAnsi="宋体" w:eastAsia="仿宋_GB2312" w:cs="Times New Roman"/>
          <w:kern w:val="2"/>
          <w:sz w:val="32"/>
          <w:szCs w:val="32"/>
          <w:highlight w:val="none"/>
          <w:lang w:val="en-US" w:eastAsia="zh-CN" w:bidi="ar-SA"/>
        </w:rPr>
      </w:pPr>
      <w:r>
        <w:rPr>
          <w:rFonts w:hint="eastAsia" w:ascii="宋体" w:hAnsi="宋体" w:eastAsia="仿宋_GB2312" w:cs="Times New Roman"/>
          <w:kern w:val="2"/>
          <w:sz w:val="32"/>
          <w:szCs w:val="32"/>
          <w:highlight w:val="none"/>
          <w:lang w:val="en-US" w:eastAsia="zh-CN" w:bidi="ar-SA"/>
        </w:rPr>
        <w:t>一是部分专项资金未按计划支付。受疫情影响，部分项目未能按原计划开展，导致资金无法按计划支付。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宋体" w:hAnsi="宋体" w:eastAsia="FangSong_GB2312" w:cs="Times New Roman"/>
          <w:kern w:val="0"/>
          <w:sz w:val="32"/>
          <w:szCs w:val="24"/>
          <w:highlight w:val="none"/>
          <w:lang w:val="en-US" w:eastAsia="zh-CN" w:bidi="ar-SA"/>
        </w:rPr>
      </w:pPr>
      <w:r>
        <w:rPr>
          <w:rFonts w:hint="eastAsia" w:ascii="宋体" w:hAnsi="宋体" w:eastAsia="FangSong_GB2312" w:cs="Times New Roman"/>
          <w:kern w:val="0"/>
          <w:sz w:val="32"/>
          <w:szCs w:val="24"/>
          <w:highlight w:val="none"/>
          <w:lang w:val="en-US" w:eastAsia="zh-CN" w:bidi="ar-SA"/>
        </w:rPr>
        <w:t>二是项目地跨佛山、肇庆两市，机场用地行政区划调整进展缓慢，影响机场前期有关工作。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FangSong_GB2312" w:cs="Times New Roman"/>
          <w:kern w:val="0"/>
          <w:sz w:val="32"/>
          <w:szCs w:val="24"/>
          <w:highlight w:val="none"/>
          <w:lang w:val="en-US" w:eastAsia="zh-CN" w:bidi="ar-SA"/>
        </w:rPr>
      </w:pPr>
      <w:r>
        <w:rPr>
          <w:rFonts w:hint="eastAsia" w:ascii="宋体" w:hAnsi="宋体" w:eastAsia="FangSong_GB2312" w:cs="Times New Roman"/>
          <w:kern w:val="0"/>
          <w:sz w:val="32"/>
          <w:szCs w:val="24"/>
          <w:highlight w:val="none"/>
          <w:lang w:val="en-US" w:eastAsia="zh-CN" w:bidi="ar-SA"/>
        </w:rPr>
        <w:t>三是内控管理架构有待继续完善，还未设置内部控制评价与监督部门。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jc w:val="both"/>
        <w:textAlignment w:val="auto"/>
        <w:outlineLvl w:val="9"/>
        <w:rPr>
          <w:rFonts w:hint="eastAsia" w:ascii="宋体" w:hAnsi="宋体" w:eastAsia="黑体" w:cs="黑体"/>
          <w:b w:val="0"/>
          <w:bCs w:val="0"/>
          <w:sz w:val="32"/>
          <w:szCs w:val="32"/>
        </w:rPr>
      </w:pPr>
      <w:r>
        <w:rPr>
          <w:rFonts w:hint="eastAsia" w:ascii="宋体" w:hAnsi="宋体" w:eastAsia="黑体" w:cs="黑体"/>
          <w:b w:val="0"/>
          <w:bCs w:val="0"/>
          <w:sz w:val="32"/>
          <w:szCs w:val="32"/>
          <w:lang w:val="en-US" w:eastAsia="zh-CN"/>
        </w:rPr>
        <w:t>四、</w:t>
      </w:r>
      <w:r>
        <w:rPr>
          <w:rFonts w:hint="eastAsia" w:ascii="宋体" w:hAnsi="宋体" w:eastAsia="黑体" w:cs="黑体"/>
          <w:b w:val="0"/>
          <w:bCs w:val="0"/>
          <w:sz w:val="32"/>
          <w:szCs w:val="32"/>
        </w:rPr>
        <w:t>改进措施及有关建议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default" w:ascii="宋体" w:hAnsi="宋体" w:eastAsia="仿宋_GB2312" w:cs="Times New Roman"/>
          <w:kern w:val="2"/>
          <w:sz w:val="32"/>
          <w:szCs w:val="32"/>
          <w:highlight w:val="none"/>
          <w:lang w:val="en-US" w:eastAsia="zh-CN" w:bidi="ar-SA"/>
        </w:rPr>
      </w:pPr>
      <w:r>
        <w:rPr>
          <w:rFonts w:hint="eastAsia" w:ascii="宋体" w:hAnsi="宋体" w:eastAsia="仿宋_GB2312" w:cs="Times New Roman"/>
          <w:kern w:val="2"/>
          <w:sz w:val="32"/>
          <w:szCs w:val="32"/>
          <w:highlight w:val="none"/>
          <w:lang w:val="en-US" w:eastAsia="zh-CN" w:bidi="ar-SA"/>
        </w:rPr>
        <w:t>一是建立预算执行定期分析、评价机制。鼓励各部门打好提前量，在支出计划的基础上加快支出进度；并定期对进度进行评价，不及预期的，督促进一步加快支付进度。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default" w:ascii="宋体" w:hAnsi="宋体" w:eastAsia="仿宋_GB2312" w:cs="Times New Roman"/>
          <w:kern w:val="2"/>
          <w:sz w:val="32"/>
          <w:szCs w:val="32"/>
          <w:highlight w:val="none"/>
          <w:lang w:val="en-US" w:eastAsia="zh-CN" w:bidi="ar-SA"/>
        </w:rPr>
      </w:pPr>
      <w:r>
        <w:rPr>
          <w:rFonts w:hint="eastAsia" w:ascii="宋体" w:hAnsi="宋体" w:eastAsia="仿宋_GB2312" w:cs="Times New Roman"/>
          <w:kern w:val="2"/>
          <w:sz w:val="32"/>
          <w:szCs w:val="32"/>
          <w:highlight w:val="none"/>
          <w:lang w:val="en-US" w:eastAsia="zh-CN" w:bidi="ar-SA"/>
        </w:rPr>
        <w:t>二是持续与省、肇庆市协调，加快审查进度。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highlight w:val="none"/>
          <w:lang w:val="en-US"/>
        </w:rPr>
      </w:pPr>
      <w:r>
        <w:rPr>
          <w:rFonts w:hint="eastAsia" w:ascii="宋体" w:hAnsi="宋体" w:eastAsia="仿宋_GB2312" w:cs="Times New Roman"/>
          <w:kern w:val="2"/>
          <w:sz w:val="32"/>
          <w:szCs w:val="32"/>
          <w:highlight w:val="none"/>
          <w:lang w:val="en-US" w:eastAsia="zh-CN" w:bidi="ar-SA"/>
        </w:rPr>
        <w:t>三是待市机场办成为实体机构时，继续完善内部控制管理架构，设置内部控制评价与监督部门。目前，由内部控制领导小组或邀请第三方机构对内部控制工作不定期进行评价与监督，及时纠正内部控制工作落实不到位之处。</w:t>
      </w:r>
    </w:p>
    <w:p>
      <w:pPr>
        <w:keepNext w:val="0"/>
        <w:keepLines w:val="0"/>
        <w:pageBreakBefore w:val="0"/>
        <w:widowControl w:val="0"/>
        <w:numPr>
          <w:ilvl w:val="0"/>
          <w:numId w:val="0"/>
        </w:numPr>
        <w:kinsoku/>
        <w:wordWrap/>
        <w:overflowPunct/>
        <w:topLinePunct w:val="0"/>
        <w:autoSpaceDE/>
        <w:autoSpaceDN w:val="0"/>
        <w:bidi w:val="0"/>
        <w:adjustRightInd/>
        <w:snapToGrid/>
        <w:jc w:val="both"/>
        <w:textAlignment w:val="auto"/>
        <w:outlineLvl w:val="9"/>
        <w:rPr>
          <w:rFonts w:hint="default" w:ascii="仿宋_GB2312" w:hAnsi="仿宋_GB2312" w:eastAsia="仿宋_GB2312" w:cs="仿宋_GB2312"/>
          <w:color w:val="000000"/>
          <w:sz w:val="32"/>
          <w:szCs w:val="20"/>
          <w:lang w:val="en-US" w:eastAsia="zh-CN"/>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snapToGrid w:val="0"/>
      </w:pPr>
      <w:r>
        <w:rPr>
          <w:rStyle w:val="10"/>
        </w:rPr>
        <w:footnoteRef/>
      </w:r>
      <w:r>
        <w:t xml:space="preserve"> </w:t>
      </w:r>
      <w:r>
        <w:rPr>
          <w:rFonts w:hint="eastAsia"/>
          <w:lang w:val="en-US" w:eastAsia="zh-CN"/>
        </w:rPr>
        <w:t>绩效等级：</w:t>
      </w:r>
      <w:r>
        <w:rPr>
          <w:rFonts w:hint="eastAsia" w:cs="Times New Roman"/>
          <w:szCs w:val="32"/>
          <w:lang w:eastAsia="zh-CN"/>
        </w:rPr>
        <w:t>总分≥90为优，80≤总分&lt;90为良，60≤总分&lt;80为中，总分&lt;60为差。</w:t>
      </w:r>
    </w:p>
    <w:p>
      <w:pPr>
        <w:pStyle w:val="5"/>
        <w:snapToGrid w:val="0"/>
        <w:rPr>
          <w:rFonts w:hint="default" w:eastAsiaTheme="minorEastAsia"/>
          <w:lang w:val="en-US" w:eastAsia="zh-C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51479"/>
    <w:multiLevelType w:val="singleLevel"/>
    <w:tmpl w:val="80051479"/>
    <w:lvl w:ilvl="0" w:tentative="0">
      <w:start w:val="1"/>
      <w:numFmt w:val="decimal"/>
      <w:suff w:val="nothing"/>
      <w:lvlText w:val="%1．"/>
      <w:lvlJc w:val="left"/>
      <w:pPr>
        <w:ind w:left="0" w:firstLine="400"/>
      </w:pPr>
      <w:rPr>
        <w:rFonts w:hint="default"/>
      </w:rPr>
    </w:lvl>
  </w:abstractNum>
  <w:abstractNum w:abstractNumId="1">
    <w:nsid w:val="BA53B57D"/>
    <w:multiLevelType w:val="singleLevel"/>
    <w:tmpl w:val="BA53B57D"/>
    <w:lvl w:ilvl="0" w:tentative="0">
      <w:start w:val="1"/>
      <w:numFmt w:val="decimal"/>
      <w:suff w:val="nothing"/>
      <w:lvlText w:val="%1．"/>
      <w:lvlJc w:val="left"/>
      <w:pPr>
        <w:ind w:left="0" w:firstLine="400"/>
      </w:pPr>
      <w:rPr>
        <w:rFonts w:hint="default"/>
      </w:rPr>
    </w:lvl>
  </w:abstractNum>
  <w:abstractNum w:abstractNumId="2">
    <w:nsid w:val="BCE08BAC"/>
    <w:multiLevelType w:val="singleLevel"/>
    <w:tmpl w:val="BCE08BAC"/>
    <w:lvl w:ilvl="0" w:tentative="0">
      <w:start w:val="1"/>
      <w:numFmt w:val="chineseCounting"/>
      <w:suff w:val="nothing"/>
      <w:lvlText w:val="%1、"/>
      <w:lvlJc w:val="left"/>
      <w:pPr>
        <w:ind w:left="0" w:firstLine="420"/>
      </w:pPr>
      <w:rPr>
        <w:rFonts w:hint="eastAsia"/>
      </w:rPr>
    </w:lvl>
  </w:abstractNum>
  <w:abstractNum w:abstractNumId="3">
    <w:nsid w:val="C73048F1"/>
    <w:multiLevelType w:val="singleLevel"/>
    <w:tmpl w:val="C73048F1"/>
    <w:lvl w:ilvl="0" w:tentative="0">
      <w:start w:val="3"/>
      <w:numFmt w:val="chineseCounting"/>
      <w:suff w:val="nothing"/>
      <w:lvlText w:val="（%1）"/>
      <w:lvlJc w:val="left"/>
      <w:rPr>
        <w:rFonts w:hint="eastAsia"/>
      </w:rPr>
    </w:lvl>
  </w:abstractNum>
  <w:abstractNum w:abstractNumId="4">
    <w:nsid w:val="D551A0D2"/>
    <w:multiLevelType w:val="singleLevel"/>
    <w:tmpl w:val="D551A0D2"/>
    <w:lvl w:ilvl="0" w:tentative="0">
      <w:start w:val="1"/>
      <w:numFmt w:val="chineseCounting"/>
      <w:suff w:val="nothing"/>
      <w:lvlText w:val="（%1）"/>
      <w:lvlJc w:val="left"/>
      <w:pPr>
        <w:ind w:left="0" w:firstLine="420"/>
      </w:pPr>
      <w:rPr>
        <w:rFonts w:hint="eastAsi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M2NmZjNlOTg0MDUwMGNhNWM3Y2ZhMjNkNWUyMWUifQ=="/>
  </w:docVars>
  <w:rsids>
    <w:rsidRoot w:val="00172A27"/>
    <w:rsid w:val="016B2BB1"/>
    <w:rsid w:val="03C72920"/>
    <w:rsid w:val="03CF1DB6"/>
    <w:rsid w:val="05313639"/>
    <w:rsid w:val="07B6221C"/>
    <w:rsid w:val="0E7E7266"/>
    <w:rsid w:val="0F6D6316"/>
    <w:rsid w:val="118253BD"/>
    <w:rsid w:val="145B47AA"/>
    <w:rsid w:val="14631B24"/>
    <w:rsid w:val="15150460"/>
    <w:rsid w:val="16863F52"/>
    <w:rsid w:val="1B712740"/>
    <w:rsid w:val="1B8F5DEF"/>
    <w:rsid w:val="1C062199"/>
    <w:rsid w:val="1C0B4ED0"/>
    <w:rsid w:val="1C5D7BFF"/>
    <w:rsid w:val="1D08399F"/>
    <w:rsid w:val="1E1F40A6"/>
    <w:rsid w:val="1EFE345F"/>
    <w:rsid w:val="1FA6117D"/>
    <w:rsid w:val="1FD57CAB"/>
    <w:rsid w:val="20323B0A"/>
    <w:rsid w:val="205B0762"/>
    <w:rsid w:val="2093144D"/>
    <w:rsid w:val="20A55292"/>
    <w:rsid w:val="21096594"/>
    <w:rsid w:val="21875F5E"/>
    <w:rsid w:val="241A1219"/>
    <w:rsid w:val="24875B05"/>
    <w:rsid w:val="26D26EFA"/>
    <w:rsid w:val="273807F7"/>
    <w:rsid w:val="2DDE2E3B"/>
    <w:rsid w:val="2FBD5116"/>
    <w:rsid w:val="303A285E"/>
    <w:rsid w:val="30632577"/>
    <w:rsid w:val="30CF6D2D"/>
    <w:rsid w:val="32C000CD"/>
    <w:rsid w:val="332966DF"/>
    <w:rsid w:val="34710196"/>
    <w:rsid w:val="37CB2A04"/>
    <w:rsid w:val="390E7248"/>
    <w:rsid w:val="391B4A7F"/>
    <w:rsid w:val="39663FF2"/>
    <w:rsid w:val="39EB3FC8"/>
    <w:rsid w:val="3A270418"/>
    <w:rsid w:val="3A7111A3"/>
    <w:rsid w:val="3B6E0B12"/>
    <w:rsid w:val="3CDE677B"/>
    <w:rsid w:val="3D562D1B"/>
    <w:rsid w:val="3E633261"/>
    <w:rsid w:val="419156AF"/>
    <w:rsid w:val="41F76A36"/>
    <w:rsid w:val="423D1738"/>
    <w:rsid w:val="443740EB"/>
    <w:rsid w:val="44576E11"/>
    <w:rsid w:val="45034466"/>
    <w:rsid w:val="45D26FBB"/>
    <w:rsid w:val="468170E7"/>
    <w:rsid w:val="49B1048C"/>
    <w:rsid w:val="49C844CA"/>
    <w:rsid w:val="4CD21EFD"/>
    <w:rsid w:val="4E8D4632"/>
    <w:rsid w:val="4F824FB5"/>
    <w:rsid w:val="4F9566C8"/>
    <w:rsid w:val="50375ABE"/>
    <w:rsid w:val="529A1AA4"/>
    <w:rsid w:val="52B125BD"/>
    <w:rsid w:val="54F637DC"/>
    <w:rsid w:val="55046FEB"/>
    <w:rsid w:val="552655E4"/>
    <w:rsid w:val="5571562A"/>
    <w:rsid w:val="55945F3A"/>
    <w:rsid w:val="564B52E1"/>
    <w:rsid w:val="56601787"/>
    <w:rsid w:val="572D10E0"/>
    <w:rsid w:val="58060DB0"/>
    <w:rsid w:val="5A727D80"/>
    <w:rsid w:val="5B1D64FE"/>
    <w:rsid w:val="5BD1480E"/>
    <w:rsid w:val="5C8C5288"/>
    <w:rsid w:val="5EF43E03"/>
    <w:rsid w:val="5FC67C19"/>
    <w:rsid w:val="60384F39"/>
    <w:rsid w:val="63832D81"/>
    <w:rsid w:val="643E4796"/>
    <w:rsid w:val="67B058A3"/>
    <w:rsid w:val="68C33B46"/>
    <w:rsid w:val="6A892C97"/>
    <w:rsid w:val="6A9A388E"/>
    <w:rsid w:val="6D7D611A"/>
    <w:rsid w:val="706439F9"/>
    <w:rsid w:val="712B780F"/>
    <w:rsid w:val="728B5D09"/>
    <w:rsid w:val="74611A2C"/>
    <w:rsid w:val="74E25B8D"/>
    <w:rsid w:val="750403D6"/>
    <w:rsid w:val="756D658D"/>
    <w:rsid w:val="783778F6"/>
    <w:rsid w:val="78D00358"/>
    <w:rsid w:val="793468B4"/>
    <w:rsid w:val="7C0C5B74"/>
    <w:rsid w:val="7C8A0A65"/>
    <w:rsid w:val="7CA0289E"/>
    <w:rsid w:val="7D925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 w:type="paragraph" w:styleId="6">
    <w:name w:val="Normal (Web)"/>
    <w:unhideWhenUsed/>
    <w:qFormat/>
    <w:uiPriority w:val="0"/>
    <w:pPr>
      <w:widowControl w:val="0"/>
      <w:spacing w:before="100" w:beforeAutospacing="1" w:after="100" w:afterAutospacing="1" w:line="240" w:lineRule="auto"/>
      <w:jc w:val="left"/>
    </w:pPr>
    <w:rPr>
      <w:rFonts w:asciiTheme="minorHAnsi" w:hAnsiTheme="minorHAnsi" w:eastAsiaTheme="minorEastAsia" w:cstheme="minorBidi"/>
      <w:kern w:val="0"/>
      <w:sz w:val="24"/>
      <w:szCs w:val="24"/>
      <w:lang w:val="en-US" w:eastAsia="zh-CN" w:bidi="ar-SA"/>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qFormat/>
    <w:uiPriority w:val="0"/>
    <w:rPr>
      <w:vertAlign w:val="superscript"/>
    </w:rPr>
  </w:style>
  <w:style w:type="paragraph" w:customStyle="1" w:styleId="11">
    <w:name w:val="正文排版"/>
    <w:next w:val="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2021-02-08T02:37:00Z</dcterms:created>
  <dc:creator>翁健怡</dc:creator>
  <cp:lastModifiedBy>杨中</cp:lastModifiedBy>
  <cp:lastPrinted>2023-08-22T08:25:14Z</cp:lastPrinted>
  <dcterms:modified xsi:type="dcterms:W3CDTF">2023-08-22T08:26:22Z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A64DC00D1C10455BA975AE4B399FABC3_13</vt:lpwstr>
  </property>
</Properties>
</file>