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overflowPunct/>
        <w:topLinePunct w:val="0"/>
        <w:autoSpaceDE/>
        <w:autoSpaceDN/>
        <w:bidi w:val="0"/>
        <w:adjustRightInd/>
        <w:snapToGrid/>
        <w:spacing w:before="0" w:after="0" w:line="520" w:lineRule="atLeast"/>
        <w:ind w:left="0" w:leftChars="0" w:right="0" w:rightChars="0"/>
        <w:jc w:val="left"/>
        <w:textAlignment w:val="auto"/>
        <w:rPr>
          <w:rFonts w:hint="eastAsia" w:ascii="黑体" w:hAnsi="黑体" w:eastAsia="黑体" w:cs="黑体"/>
          <w:b w:val="0"/>
          <w:sz w:val="44"/>
          <w:szCs w:val="44"/>
          <w:lang w:val="en-US" w:eastAsia="zh-CN"/>
        </w:rPr>
      </w:pPr>
      <w:bookmarkStart w:id="0" w:name="_Toc13379"/>
      <w:bookmarkStart w:id="1" w:name="_Toc9212"/>
      <w:bookmarkStart w:id="2" w:name="_Toc31213"/>
      <w:bookmarkStart w:id="3" w:name="_Toc25572"/>
      <w:bookmarkStart w:id="4" w:name="_Toc26427"/>
      <w:r>
        <w:rPr>
          <w:rFonts w:hint="eastAsia" w:ascii="黑体" w:hAnsi="黑体" w:eastAsia="黑体" w:cs="黑体"/>
          <w:b w:val="0"/>
          <w:sz w:val="28"/>
          <w:szCs w:val="28"/>
          <w:lang w:eastAsia="zh-CN"/>
        </w:rPr>
        <w:t>附件</w:t>
      </w:r>
      <w:r>
        <w:rPr>
          <w:rFonts w:hint="eastAsia" w:ascii="黑体" w:hAnsi="黑体" w:eastAsia="黑体" w:cs="黑体"/>
          <w:b w:val="0"/>
          <w:sz w:val="28"/>
          <w:szCs w:val="28"/>
          <w:lang w:val="en-US" w:eastAsia="zh-CN"/>
        </w:rPr>
        <w:t>3</w:t>
      </w:r>
    </w:p>
    <w:p>
      <w:pPr>
        <w:pStyle w:val="2"/>
        <w:keepNext w:val="0"/>
        <w:keepLines w:val="0"/>
        <w:pageBreakBefore w:val="0"/>
        <w:widowControl w:val="0"/>
        <w:kinsoku/>
        <w:overflowPunct/>
        <w:topLinePunct w:val="0"/>
        <w:autoSpaceDE/>
        <w:autoSpaceDN/>
        <w:bidi w:val="0"/>
        <w:adjustRightInd/>
        <w:snapToGrid/>
        <w:spacing w:before="0" w:after="0" w:line="520" w:lineRule="atLeast"/>
        <w:ind w:left="0" w:leftChars="0" w:right="0" w:rightChars="0"/>
        <w:textAlignment w:val="auto"/>
        <w:rPr>
          <w:rFonts w:hint="eastAsia" w:ascii="方正小标宋简体" w:eastAsia="方正小标宋简体"/>
          <w:b w:val="0"/>
          <w:sz w:val="44"/>
          <w:szCs w:val="44"/>
        </w:rPr>
      </w:pPr>
      <w:r>
        <w:rPr>
          <w:rFonts w:hint="eastAsia" w:ascii="方正小标宋简体" w:hAnsi="宋体" w:eastAsia="方正小标宋简体" w:cs="宋体"/>
          <w:b w:val="0"/>
          <w:sz w:val="44"/>
          <w:szCs w:val="44"/>
          <w:lang w:eastAsia="zh-CN"/>
        </w:rPr>
        <w:t>不良信用行为初步处理</w:t>
      </w:r>
      <w:r>
        <w:rPr>
          <w:rFonts w:hint="eastAsia" w:ascii="方正小标宋简体" w:hAnsi="宋体" w:eastAsia="方正小标宋简体" w:cs="宋体"/>
          <w:b w:val="0"/>
          <w:sz w:val="44"/>
          <w:szCs w:val="44"/>
        </w:rPr>
        <w:t>告知书</w:t>
      </w:r>
      <w:bookmarkEnd w:id="0"/>
      <w:bookmarkEnd w:id="1"/>
      <w:bookmarkEnd w:id="2"/>
      <w:bookmarkEnd w:id="3"/>
      <w:bookmarkEnd w:id="4"/>
    </w:p>
    <w:p>
      <w:pPr>
        <w:keepNext w:val="0"/>
        <w:keepLines w:val="0"/>
        <w:pageBreakBefore w:val="0"/>
        <w:widowControl w:val="0"/>
        <w:kinsoku/>
        <w:wordWrap w:val="0"/>
        <w:overflowPunct/>
        <w:topLinePunct w:val="0"/>
        <w:autoSpaceDE/>
        <w:autoSpaceDN/>
        <w:bidi w:val="0"/>
        <w:adjustRightInd/>
        <w:snapToGrid/>
        <w:spacing w:line="520" w:lineRule="atLeast"/>
        <w:ind w:left="0" w:leftChars="0" w:right="0" w:rightChars="0"/>
        <w:jc w:val="right"/>
        <w:textAlignment w:val="auto"/>
        <w:rPr>
          <w:rFonts w:hint="eastAsia" w:eastAsia="仿宋_GB2312"/>
          <w:i/>
          <w:iCs/>
          <w:color w:val="FF0000"/>
          <w:sz w:val="28"/>
          <w:szCs w:val="28"/>
          <w:lang w:val="en-US" w:eastAsia="zh-CN"/>
        </w:rPr>
      </w:pPr>
      <w:bookmarkStart w:id="5" w:name="_GoBack"/>
      <w:bookmarkEnd w:id="5"/>
      <w:r>
        <w:rPr>
          <w:rFonts w:hint="eastAsia" w:eastAsia="仿宋_GB2312"/>
          <w:i/>
          <w:iCs/>
          <w:color w:val="FF0000"/>
          <w:sz w:val="28"/>
          <w:szCs w:val="28"/>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00" w:lineRule="atLeast"/>
        <w:ind w:left="0" w:leftChars="0" w:right="0" w:rightChars="0"/>
        <w:jc w:val="right"/>
        <w:textAlignment w:val="auto"/>
        <w:outlineLvl w:val="9"/>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不良初</w:t>
      </w:r>
      <w:r>
        <w:rPr>
          <w:rFonts w:hint="eastAsia" w:ascii="仿宋_GB2312" w:hAnsi="仿宋" w:eastAsia="仿宋_GB2312"/>
          <w:sz w:val="32"/>
          <w:szCs w:val="32"/>
        </w:rPr>
        <w:t xml:space="preserve">字〔   〕第  号    </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（当事人为自然人时填写如下信息）</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当事人：                   性别：   </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身份证号:                  电话：</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住址： </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（当事人为法人或其他组织时填写如下信息） </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当事人：                统一社会信用代码：  </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住所：    </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法定代表人：            职务：            电话：      </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640" w:firstLineChars="200"/>
        <w:jc w:val="both"/>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你（单位）主要</w:t>
      </w:r>
      <w:r>
        <w:rPr>
          <w:rFonts w:hint="eastAsia" w:ascii="仿宋_GB2312" w:hAnsi="仿宋" w:eastAsia="仿宋_GB2312"/>
          <w:color w:val="000000"/>
          <w:sz w:val="32"/>
          <w:szCs w:val="32"/>
          <w:lang w:val="en-US" w:eastAsia="zh-CN"/>
        </w:rPr>
        <w:t>不良信用行为及其</w:t>
      </w:r>
      <w:r>
        <w:rPr>
          <w:rFonts w:hint="eastAsia" w:ascii="仿宋_GB2312" w:hAnsi="仿宋" w:eastAsia="仿宋_GB2312"/>
          <w:color w:val="000000"/>
          <w:sz w:val="32"/>
          <w:szCs w:val="32"/>
        </w:rPr>
        <w:t>事实（包括时间、地点、基本情况、事件经过、危害后果等） ，违反了（法律条款</w:t>
      </w:r>
      <w:r>
        <w:rPr>
          <w:rFonts w:hint="eastAsia" w:ascii="仿宋_GB2312" w:hAnsi="仿宋" w:eastAsia="仿宋_GB2312"/>
          <w:color w:val="000000"/>
          <w:sz w:val="32"/>
          <w:szCs w:val="32"/>
          <w:lang w:eastAsia="zh-CN"/>
        </w:rPr>
        <w:t>或合同约定等之依据</w:t>
      </w:r>
      <w:r>
        <w:rPr>
          <w:rFonts w:hint="eastAsia" w:ascii="仿宋_GB2312" w:hAnsi="仿宋" w:eastAsia="仿宋_GB2312"/>
          <w:color w:val="000000"/>
          <w:sz w:val="32"/>
          <w:szCs w:val="32"/>
        </w:rPr>
        <w:t xml:space="preserve">）     </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根据</w:t>
      </w:r>
      <w:r>
        <w:rPr>
          <w:rFonts w:hint="eastAsia" w:ascii="仿宋_GB2312" w:hAnsi="仿宋" w:eastAsia="仿宋_GB2312"/>
          <w:color w:val="000000"/>
          <w:sz w:val="32"/>
          <w:szCs w:val="32"/>
          <w:lang w:val="en-US" w:eastAsia="zh-CN"/>
        </w:rPr>
        <w:t>《佛山市水利局 佛山市发展和改革局 佛山市政务服务数据管理局关于市政供排水建设市场信用的管理办法》第十九条、第二十条</w:t>
      </w:r>
      <w:r>
        <w:rPr>
          <w:rFonts w:hint="eastAsia" w:ascii="仿宋_GB2312" w:hAnsi="仿宋" w:eastAsia="仿宋_GB2312"/>
          <w:color w:val="000000"/>
          <w:sz w:val="32"/>
          <w:szCs w:val="32"/>
        </w:rPr>
        <w:t>的规定</w:t>
      </w:r>
      <w:r>
        <w:rPr>
          <w:rFonts w:hint="eastAsia" w:ascii="仿宋_GB2312" w:hAnsi="仿宋" w:eastAsia="仿宋_GB2312"/>
          <w:color w:val="000000"/>
          <w:sz w:val="32"/>
          <w:szCs w:val="32"/>
          <w:lang w:eastAsia="zh-CN"/>
        </w:rPr>
        <w:t>以及《佛山市市政供排水建设市场主体不良信用行为记录认定标准》第</w:t>
      </w:r>
      <w:r>
        <w:rPr>
          <w:rFonts w:hint="eastAsia" w:ascii="仿宋_GB2312" w:hAnsi="仿宋" w:eastAsia="仿宋_GB2312"/>
          <w:color w:val="000000"/>
          <w:sz w:val="32"/>
          <w:szCs w:val="32"/>
          <w:lang w:val="en-US" w:eastAsia="zh-CN"/>
        </w:rPr>
        <w:t xml:space="preserve">  项</w:t>
      </w:r>
      <w:r>
        <w:rPr>
          <w:rFonts w:hint="eastAsia" w:ascii="仿宋_GB2312" w:hAnsi="仿宋" w:eastAsia="仿宋_GB2312"/>
          <w:color w:val="000000"/>
          <w:sz w:val="32"/>
          <w:szCs w:val="32"/>
          <w:lang w:eastAsia="zh-CN"/>
        </w:rPr>
        <w:t>的规定</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本机关</w:t>
      </w:r>
      <w:r>
        <w:rPr>
          <w:rFonts w:hint="eastAsia" w:ascii="仿宋_GB2312" w:hAnsi="仿宋" w:eastAsia="仿宋_GB2312"/>
          <w:color w:val="000000"/>
          <w:sz w:val="32"/>
          <w:szCs w:val="32"/>
        </w:rPr>
        <w:t>拟</w:t>
      </w:r>
      <w:r>
        <w:rPr>
          <w:rFonts w:hint="eastAsia" w:ascii="仿宋_GB2312" w:hAnsi="仿宋" w:eastAsia="仿宋_GB2312"/>
          <w:color w:val="000000"/>
          <w:sz w:val="32"/>
          <w:szCs w:val="32"/>
          <w:lang w:val="en-US" w:eastAsia="zh-CN"/>
        </w:rPr>
        <w:t>对</w:t>
      </w:r>
      <w:r>
        <w:rPr>
          <w:rFonts w:hint="eastAsia" w:ascii="仿宋_GB2312" w:hAnsi="仿宋" w:eastAsia="仿宋_GB2312"/>
          <w:color w:val="000000"/>
          <w:sz w:val="32"/>
          <w:szCs w:val="32"/>
        </w:rPr>
        <w:t>你（单位）</w:t>
      </w:r>
      <w:r>
        <w:rPr>
          <w:rFonts w:hint="eastAsia" w:ascii="仿宋_GB2312" w:hAnsi="仿宋" w:eastAsia="仿宋_GB2312"/>
          <w:color w:val="000000"/>
          <w:sz w:val="32"/>
          <w:szCs w:val="32"/>
          <w:lang w:val="en-US" w:eastAsia="zh-CN"/>
        </w:rPr>
        <w:t>上述不良信用行为进行处理，并对</w:t>
      </w:r>
      <w:r>
        <w:rPr>
          <w:rFonts w:hint="eastAsia" w:ascii="仿宋_GB2312" w:hAnsi="仿宋" w:eastAsia="仿宋_GB2312"/>
          <w:color w:val="000000"/>
          <w:sz w:val="32"/>
          <w:szCs w:val="32"/>
        </w:rPr>
        <w:t>你（单位）</w:t>
      </w:r>
      <w:r>
        <w:rPr>
          <w:rFonts w:hint="eastAsia" w:ascii="仿宋_GB2312" w:hAnsi="仿宋" w:eastAsia="仿宋_GB2312"/>
          <w:color w:val="000000"/>
          <w:sz w:val="32"/>
          <w:szCs w:val="32"/>
          <w:lang w:val="en-US" w:eastAsia="zh-CN"/>
        </w:rPr>
        <w:t>的信用分值进行扣    分。</w:t>
      </w:r>
      <w:r>
        <w:rPr>
          <w:rFonts w:hint="eastAsia" w:ascii="仿宋_GB2312" w:hAnsi="仿宋" w:eastAsia="仿宋_GB2312"/>
          <w:color w:val="000000"/>
          <w:sz w:val="32"/>
          <w:szCs w:val="32"/>
        </w:rPr>
        <w:t>你（单位）有权在接到本告知书之日起</w:t>
      </w:r>
      <w:r>
        <w:rPr>
          <w:rFonts w:hint="eastAsia" w:ascii="仿宋_GB2312" w:hAnsi="仿宋" w:eastAsia="仿宋_GB2312"/>
          <w:color w:val="000000"/>
          <w:sz w:val="32"/>
          <w:szCs w:val="32"/>
          <w:lang w:eastAsia="zh-CN"/>
        </w:rPr>
        <w:t>五</w:t>
      </w:r>
      <w:r>
        <w:rPr>
          <w:rFonts w:hint="eastAsia" w:ascii="仿宋_GB2312" w:hAnsi="仿宋" w:eastAsia="仿宋_GB2312"/>
          <w:color w:val="000000"/>
          <w:sz w:val="32"/>
          <w:szCs w:val="32"/>
        </w:rPr>
        <w:t>个工作日内向本机关提出陈述和申辩意见，逾期不提出的，视为放弃陈述和申辩的权利</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本机关</w:t>
      </w:r>
      <w:r>
        <w:rPr>
          <w:rFonts w:hint="eastAsia" w:ascii="仿宋_GB2312" w:hAnsi="仿宋" w:eastAsia="仿宋_GB2312"/>
          <w:color w:val="000000"/>
          <w:sz w:val="32"/>
          <w:szCs w:val="32"/>
          <w:lang w:eastAsia="zh-CN"/>
        </w:rPr>
        <w:t>将依法作出处理</w:t>
      </w:r>
      <w:r>
        <w:rPr>
          <w:rFonts w:hint="eastAsia" w:ascii="仿宋_GB2312" w:hAnsi="仿宋"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both"/>
        <w:textAlignment w:val="auto"/>
        <w:outlineLvl w:val="9"/>
        <w:rPr>
          <w:rFonts w:hint="eastAsia" w:ascii="仿宋_GB2312" w:hAnsi="仿宋"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0" w:lineRule="atLeast"/>
        <w:ind w:right="0" w:rightChars="0" w:firstLine="3200" w:firstLineChars="1000"/>
        <w:jc w:val="both"/>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供排水建设</w:t>
      </w:r>
      <w:r>
        <w:rPr>
          <w:rFonts w:hint="eastAsia" w:ascii="仿宋_GB2312" w:hAnsi="仿宋" w:eastAsia="仿宋_GB2312"/>
          <w:color w:val="000000"/>
          <w:sz w:val="32"/>
          <w:szCs w:val="32"/>
        </w:rPr>
        <w:t>行政主管部门名称及印章）</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both"/>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w:t>
      </w:r>
      <w:r>
        <w:rPr>
          <w:rFonts w:hint="eastAsia" w:ascii="仿宋_GB2312" w:hAnsi="仿宋" w:eastAsia="仿宋_GB2312"/>
          <w:color w:val="000000"/>
          <w:sz w:val="32"/>
          <w:szCs w:val="32"/>
          <w:lang w:val="en-US" w:eastAsia="zh-CN"/>
        </w:rPr>
        <w:t xml:space="preserve">   </w:t>
      </w:r>
      <w:r>
        <w:rPr>
          <w:rFonts w:hint="eastAsia" w:ascii="仿宋_GB2312" w:hAnsi="仿宋" w:eastAsia="仿宋_GB2312"/>
          <w:color w:val="000000"/>
          <w:sz w:val="32"/>
          <w:szCs w:val="32"/>
        </w:rPr>
        <w:t xml:space="preserve">   年 </w:t>
      </w:r>
      <w:r>
        <w:rPr>
          <w:rFonts w:hint="eastAsia" w:ascii="仿宋_GB2312" w:hAnsi="仿宋" w:eastAsia="仿宋_GB2312"/>
          <w:color w:val="000000"/>
          <w:sz w:val="32"/>
          <w:szCs w:val="32"/>
          <w:lang w:val="en-US" w:eastAsia="zh-CN"/>
        </w:rPr>
        <w:t xml:space="preserve"> </w:t>
      </w:r>
      <w:r>
        <w:rPr>
          <w:rFonts w:hint="eastAsia" w:ascii="仿宋_GB2312" w:hAnsi="仿宋" w:eastAsia="仿宋_GB2312"/>
          <w:color w:val="000000"/>
          <w:sz w:val="32"/>
          <w:szCs w:val="32"/>
        </w:rPr>
        <w:t>月  日</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both"/>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联系人：</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both"/>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联系电话：</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both"/>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地址：</w:t>
      </w:r>
    </w:p>
    <w:p>
      <w:pPr>
        <w:keepNext w:val="0"/>
        <w:keepLines w:val="0"/>
        <w:pageBreakBefore w:val="0"/>
        <w:widowControl w:val="0"/>
        <w:kinsoku/>
        <w:wordWrap/>
        <w:overflowPunct/>
        <w:topLinePunct w:val="0"/>
        <w:autoSpaceDE/>
        <w:autoSpaceDN/>
        <w:bidi w:val="0"/>
        <w:adjustRightInd/>
        <w:snapToGrid/>
        <w:spacing w:line="320" w:lineRule="atLeast"/>
        <w:ind w:left="0" w:leftChars="0" w:right="0" w:rightChars="0"/>
        <w:jc w:val="both"/>
        <w:textAlignment w:val="auto"/>
        <w:outlineLvl w:val="9"/>
        <w:rPr>
          <w:rFonts w:hint="eastAsia" w:ascii="仿宋_GB2312" w:hAnsi="仿宋" w:eastAsia="仿宋_GB2312"/>
          <w:color w:val="000000"/>
          <w:sz w:val="32"/>
          <w:szCs w:val="32"/>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949F1"/>
    <w:rsid w:val="053B5CBC"/>
    <w:rsid w:val="16B32949"/>
    <w:rsid w:val="173849DF"/>
    <w:rsid w:val="174E3C04"/>
    <w:rsid w:val="177B6B8B"/>
    <w:rsid w:val="1DDA2EF1"/>
    <w:rsid w:val="21E71941"/>
    <w:rsid w:val="2DAD43EA"/>
    <w:rsid w:val="3EB64C4E"/>
    <w:rsid w:val="3ED05B85"/>
    <w:rsid w:val="42DC5622"/>
    <w:rsid w:val="4A762CFC"/>
    <w:rsid w:val="56C26ED6"/>
    <w:rsid w:val="5EFD560C"/>
    <w:rsid w:val="61653D5D"/>
    <w:rsid w:val="627160A5"/>
    <w:rsid w:val="62B479E1"/>
    <w:rsid w:val="726B14C7"/>
    <w:rsid w:val="790A3B60"/>
    <w:rsid w:val="7AE9045C"/>
    <w:rsid w:val="7CA949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jc w:val="center"/>
      <w:outlineLvl w:val="1"/>
    </w:pPr>
    <w:rPr>
      <w:rFonts w:ascii="Cambria" w:hAnsi="Cambria" w:eastAsia="Times New Roman"/>
      <w:b/>
      <w:bCs/>
      <w:kern w:val="28"/>
      <w:sz w:val="32"/>
      <w:szCs w:val="32"/>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2018-11-20T11:38:00Z</dcterms:created>
  <dc:creator>DC-he</dc:creator>
  <cp:lastModifiedBy>卢兵兵</cp:lastModifiedBy>
  <dcterms:modified xsi:type="dcterms:W3CDTF">2022-04-22T05:15:38Z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